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1BC03" w14:textId="77777777" w:rsidR="00475EFC" w:rsidRDefault="00722AA8">
      <w:pPr>
        <w:adjustRightInd w:val="0"/>
        <w:snapToGrid w:val="0"/>
        <w:spacing w:line="240" w:lineRule="auto"/>
        <w:jc w:val="center"/>
        <w:rPr>
          <w:rFonts w:ascii="方正小标宋简体" w:eastAsia="方正小标宋简体" w:hint="eastAsia"/>
          <w:sz w:val="44"/>
          <w:szCs w:val="44"/>
        </w:rPr>
      </w:pPr>
      <w:r>
        <w:rPr>
          <w:rFonts w:ascii="方正小标宋简体" w:eastAsia="方正小标宋简体" w:hint="eastAsia"/>
          <w:sz w:val="44"/>
          <w:szCs w:val="44"/>
        </w:rPr>
        <w:t>2026年度上海交通大学决策咨询立项课题公示名单</w:t>
      </w:r>
    </w:p>
    <w:p w14:paraId="49C6BC98" w14:textId="77777777" w:rsidR="00475EFC" w:rsidRDefault="00475EFC">
      <w:pPr>
        <w:jc w:val="center"/>
        <w:rPr>
          <w:rFonts w:ascii="黑体" w:eastAsia="黑体" w:hAnsi="黑体" w:cs="仿宋_GB2312" w:hint="eastAsia"/>
          <w:kern w:val="0"/>
          <w:sz w:val="36"/>
          <w:szCs w:val="28"/>
          <w:shd w:val="clear" w:color="auto" w:fill="FFFFFF"/>
          <w:lang w:bidi="ar"/>
        </w:rPr>
      </w:pPr>
    </w:p>
    <w:p w14:paraId="683DF6A5" w14:textId="77777777" w:rsidR="00475EFC" w:rsidRDefault="00722AA8">
      <w:pPr>
        <w:jc w:val="center"/>
        <w:rPr>
          <w:rFonts w:ascii="仿宋_GB2312" w:eastAsia="仿宋_GB2312" w:hAnsi="仿宋" w:cs="仿宋_GB2312" w:hint="eastAsia"/>
          <w:b/>
          <w:kern w:val="0"/>
          <w:sz w:val="28"/>
          <w:szCs w:val="28"/>
          <w:shd w:val="clear" w:color="auto" w:fill="FFFFFF"/>
          <w:lang w:bidi="ar"/>
        </w:rPr>
      </w:pPr>
      <w:r>
        <w:rPr>
          <w:rFonts w:ascii="仿宋_GB2312" w:eastAsia="仿宋_GB2312" w:hAnsi="仿宋" w:cs="仿宋_GB2312" w:hint="eastAsia"/>
          <w:b/>
          <w:kern w:val="0"/>
          <w:sz w:val="28"/>
          <w:szCs w:val="28"/>
          <w:shd w:val="clear" w:color="auto" w:fill="FFFFFF"/>
          <w:lang w:bidi="ar"/>
        </w:rPr>
        <w:t>表1：党建思政专项</w:t>
      </w:r>
    </w:p>
    <w:p w14:paraId="2C2C1992" w14:textId="6737F9AF" w:rsidR="00475EFC" w:rsidRDefault="00722AA8">
      <w:pPr>
        <w:jc w:val="center"/>
        <w:rPr>
          <w:rFonts w:ascii="仿宋_GB2312" w:eastAsia="仿宋_GB2312" w:hAnsi="仿宋" w:cs="仿宋_GB2312" w:hint="eastAsia"/>
          <w:b/>
          <w:kern w:val="0"/>
          <w:sz w:val="28"/>
          <w:szCs w:val="28"/>
          <w:shd w:val="clear" w:color="auto" w:fill="FFFFFF"/>
          <w:lang w:bidi="ar"/>
        </w:rPr>
      </w:pPr>
      <w:r>
        <w:rPr>
          <w:rFonts w:ascii="仿宋_GB2312" w:eastAsia="仿宋_GB2312" w:hAnsi="仿宋" w:cs="仿宋_GB2312" w:hint="eastAsia"/>
          <w:b/>
          <w:kern w:val="0"/>
          <w:sz w:val="28"/>
          <w:szCs w:val="28"/>
          <w:shd w:val="clear" w:color="auto" w:fill="FFFFFF"/>
          <w:lang w:bidi="ar"/>
        </w:rPr>
        <w:t>（共</w:t>
      </w:r>
      <w:r>
        <w:rPr>
          <w:rFonts w:ascii="仿宋_GB2312" w:eastAsia="仿宋_GB2312" w:hAnsi="仿宋" w:cs="仿宋_GB2312"/>
          <w:b/>
          <w:kern w:val="0"/>
          <w:sz w:val="28"/>
          <w:szCs w:val="28"/>
          <w:shd w:val="clear" w:color="auto" w:fill="FFFFFF"/>
          <w:lang w:bidi="ar"/>
        </w:rPr>
        <w:t>2</w:t>
      </w:r>
      <w:r w:rsidR="005776FF">
        <w:rPr>
          <w:rFonts w:ascii="仿宋_GB2312" w:eastAsia="仿宋_GB2312" w:hAnsi="仿宋" w:cs="仿宋_GB2312" w:hint="eastAsia"/>
          <w:b/>
          <w:kern w:val="0"/>
          <w:sz w:val="28"/>
          <w:szCs w:val="28"/>
          <w:shd w:val="clear" w:color="auto" w:fill="FFFFFF"/>
          <w:lang w:bidi="ar"/>
        </w:rPr>
        <w:t>3</w:t>
      </w:r>
      <w:r>
        <w:rPr>
          <w:rFonts w:ascii="仿宋_GB2312" w:eastAsia="仿宋_GB2312" w:hAnsi="仿宋" w:cs="仿宋_GB2312" w:hint="eastAsia"/>
          <w:b/>
          <w:kern w:val="0"/>
          <w:sz w:val="28"/>
          <w:szCs w:val="28"/>
          <w:shd w:val="clear" w:color="auto" w:fill="FFFFFF"/>
          <w:lang w:bidi="ar"/>
        </w:rPr>
        <w:t>项，其中重点课题3项，一般课题18项，青年课题</w:t>
      </w:r>
      <w:r w:rsidR="005776FF">
        <w:rPr>
          <w:rFonts w:ascii="仿宋_GB2312" w:eastAsia="仿宋_GB2312" w:hAnsi="仿宋" w:cs="仿宋_GB2312" w:hint="eastAsia"/>
          <w:b/>
          <w:kern w:val="0"/>
          <w:sz w:val="28"/>
          <w:szCs w:val="28"/>
          <w:shd w:val="clear" w:color="auto" w:fill="FFFFFF"/>
          <w:lang w:bidi="ar"/>
        </w:rPr>
        <w:t>2</w:t>
      </w:r>
      <w:r>
        <w:rPr>
          <w:rFonts w:ascii="仿宋_GB2312" w:eastAsia="仿宋_GB2312" w:hAnsi="仿宋" w:cs="仿宋_GB2312" w:hint="eastAsia"/>
          <w:b/>
          <w:kern w:val="0"/>
          <w:sz w:val="28"/>
          <w:szCs w:val="28"/>
          <w:shd w:val="clear" w:color="auto" w:fill="FFFFFF"/>
          <w:lang w:bidi="ar"/>
        </w:rPr>
        <w:t>项）</w:t>
      </w:r>
    </w:p>
    <w:p w14:paraId="32DDB2A8" w14:textId="77777777" w:rsidR="00475EFC" w:rsidRPr="005776FF" w:rsidRDefault="00475EFC">
      <w:pPr>
        <w:jc w:val="center"/>
        <w:rPr>
          <w:rFonts w:ascii="仿宋_GB2312" w:eastAsia="仿宋_GB2312" w:hAnsi="仿宋" w:cs="仿宋_GB2312" w:hint="eastAsia"/>
          <w:b/>
          <w:kern w:val="0"/>
          <w:sz w:val="28"/>
          <w:szCs w:val="28"/>
          <w:shd w:val="clear" w:color="auto" w:fill="FFFFFF"/>
          <w:lang w:bidi="ar"/>
        </w:rPr>
      </w:pPr>
    </w:p>
    <w:tbl>
      <w:tblPr>
        <w:tblStyle w:val="a9"/>
        <w:tblW w:w="9498" w:type="dxa"/>
        <w:tblInd w:w="-289" w:type="dxa"/>
        <w:tblLook w:val="04A0" w:firstRow="1" w:lastRow="0" w:firstColumn="1" w:lastColumn="0" w:noHBand="0" w:noVBand="1"/>
      </w:tblPr>
      <w:tblGrid>
        <w:gridCol w:w="851"/>
        <w:gridCol w:w="1134"/>
        <w:gridCol w:w="6521"/>
        <w:gridCol w:w="992"/>
      </w:tblGrid>
      <w:tr w:rsidR="00475EFC" w14:paraId="67C920D5" w14:textId="77777777">
        <w:trPr>
          <w:trHeight w:val="567"/>
        </w:trPr>
        <w:tc>
          <w:tcPr>
            <w:tcW w:w="851" w:type="dxa"/>
            <w:vAlign w:val="center"/>
          </w:tcPr>
          <w:p w14:paraId="7E1BAED8" w14:textId="77777777" w:rsidR="00475EFC" w:rsidRDefault="00722AA8">
            <w:pPr>
              <w:adjustRightInd w:val="0"/>
              <w:snapToGrid w:val="0"/>
              <w:jc w:val="center"/>
              <w:rPr>
                <w:rFonts w:ascii="仿宋_GB2312" w:eastAsia="仿宋_GB2312" w:hAnsi="仿宋" w:hint="eastAsia"/>
                <w:b/>
                <w:sz w:val="22"/>
              </w:rPr>
            </w:pPr>
            <w:r>
              <w:rPr>
                <w:rFonts w:ascii="仿宋_GB2312" w:eastAsia="仿宋_GB2312" w:hAnsi="仿宋" w:hint="eastAsia"/>
                <w:b/>
                <w:sz w:val="22"/>
              </w:rPr>
              <w:t>序号</w:t>
            </w:r>
          </w:p>
        </w:tc>
        <w:tc>
          <w:tcPr>
            <w:tcW w:w="1134" w:type="dxa"/>
            <w:vAlign w:val="center"/>
          </w:tcPr>
          <w:p w14:paraId="070F902E" w14:textId="77777777" w:rsidR="00475EFC" w:rsidRDefault="00722AA8">
            <w:pPr>
              <w:adjustRightInd w:val="0"/>
              <w:snapToGrid w:val="0"/>
              <w:jc w:val="center"/>
              <w:rPr>
                <w:rFonts w:ascii="仿宋_GB2312" w:eastAsia="仿宋_GB2312" w:hAnsi="仿宋" w:hint="eastAsia"/>
                <w:b/>
                <w:sz w:val="22"/>
              </w:rPr>
            </w:pPr>
            <w:r>
              <w:rPr>
                <w:rFonts w:ascii="仿宋_GB2312" w:eastAsia="仿宋_GB2312" w:hAnsi="仿宋" w:hint="eastAsia"/>
                <w:b/>
                <w:sz w:val="22"/>
              </w:rPr>
              <w:t>课题层次</w:t>
            </w:r>
          </w:p>
        </w:tc>
        <w:tc>
          <w:tcPr>
            <w:tcW w:w="6521" w:type="dxa"/>
            <w:noWrap/>
            <w:vAlign w:val="center"/>
          </w:tcPr>
          <w:p w14:paraId="7B1AE3FD" w14:textId="77777777" w:rsidR="00475EFC" w:rsidRDefault="00722AA8">
            <w:pPr>
              <w:adjustRightInd w:val="0"/>
              <w:snapToGrid w:val="0"/>
              <w:jc w:val="center"/>
              <w:rPr>
                <w:rFonts w:ascii="仿宋_GB2312" w:eastAsia="仿宋_GB2312" w:hAnsi="仿宋" w:hint="eastAsia"/>
                <w:b/>
                <w:sz w:val="22"/>
              </w:rPr>
            </w:pPr>
            <w:r>
              <w:rPr>
                <w:rFonts w:ascii="仿宋_GB2312" w:eastAsia="仿宋_GB2312" w:hAnsi="仿宋" w:hint="eastAsia"/>
                <w:b/>
                <w:sz w:val="22"/>
              </w:rPr>
              <w:t>课题名称</w:t>
            </w:r>
          </w:p>
        </w:tc>
        <w:tc>
          <w:tcPr>
            <w:tcW w:w="992" w:type="dxa"/>
            <w:noWrap/>
            <w:vAlign w:val="center"/>
          </w:tcPr>
          <w:p w14:paraId="51A9525A" w14:textId="77777777" w:rsidR="00475EFC" w:rsidRDefault="00722AA8">
            <w:pPr>
              <w:adjustRightInd w:val="0"/>
              <w:snapToGrid w:val="0"/>
              <w:jc w:val="center"/>
              <w:rPr>
                <w:rFonts w:ascii="仿宋_GB2312" w:eastAsia="仿宋_GB2312" w:hAnsi="仿宋" w:hint="eastAsia"/>
                <w:b/>
                <w:sz w:val="22"/>
              </w:rPr>
            </w:pPr>
            <w:r>
              <w:rPr>
                <w:rFonts w:ascii="仿宋_GB2312" w:eastAsia="仿宋_GB2312" w:hAnsi="仿宋" w:hint="eastAsia"/>
                <w:b/>
                <w:sz w:val="22"/>
              </w:rPr>
              <w:t>负责人</w:t>
            </w:r>
          </w:p>
        </w:tc>
      </w:tr>
      <w:tr w:rsidR="00475EFC" w14:paraId="2E2ABB77" w14:textId="77777777">
        <w:trPr>
          <w:trHeight w:val="567"/>
        </w:trPr>
        <w:tc>
          <w:tcPr>
            <w:tcW w:w="851" w:type="dxa"/>
            <w:vAlign w:val="center"/>
          </w:tcPr>
          <w:p w14:paraId="29FD78ED"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1</w:t>
            </w:r>
          </w:p>
        </w:tc>
        <w:tc>
          <w:tcPr>
            <w:tcW w:w="1134" w:type="dxa"/>
            <w:vAlign w:val="center"/>
          </w:tcPr>
          <w:p w14:paraId="7C14E500"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重点</w:t>
            </w:r>
          </w:p>
        </w:tc>
        <w:tc>
          <w:tcPr>
            <w:tcW w:w="6521" w:type="dxa"/>
            <w:noWrap/>
            <w:vAlign w:val="center"/>
          </w:tcPr>
          <w:p w14:paraId="48A22716" w14:textId="0C2955E0" w:rsidR="00475EFC" w:rsidRDefault="006F45F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高校基层管理干部队伍选育管用机制研究</w:t>
            </w:r>
          </w:p>
        </w:tc>
        <w:tc>
          <w:tcPr>
            <w:tcW w:w="992" w:type="dxa"/>
            <w:noWrap/>
            <w:vAlign w:val="center"/>
          </w:tcPr>
          <w:p w14:paraId="0FC25B06" w14:textId="28D02EFE" w:rsidR="00475EFC" w:rsidRDefault="006F45F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郭成鹏</w:t>
            </w:r>
          </w:p>
        </w:tc>
      </w:tr>
      <w:tr w:rsidR="00475EFC" w14:paraId="3529120E" w14:textId="77777777">
        <w:trPr>
          <w:trHeight w:val="501"/>
        </w:trPr>
        <w:tc>
          <w:tcPr>
            <w:tcW w:w="851" w:type="dxa"/>
            <w:vAlign w:val="center"/>
          </w:tcPr>
          <w:p w14:paraId="3866863E"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2</w:t>
            </w:r>
          </w:p>
        </w:tc>
        <w:tc>
          <w:tcPr>
            <w:tcW w:w="1134" w:type="dxa"/>
            <w:vAlign w:val="center"/>
          </w:tcPr>
          <w:p w14:paraId="5038D35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重点</w:t>
            </w:r>
          </w:p>
        </w:tc>
        <w:tc>
          <w:tcPr>
            <w:tcW w:w="6521" w:type="dxa"/>
            <w:noWrap/>
            <w:vAlign w:val="center"/>
          </w:tcPr>
          <w:p w14:paraId="2F1069C7" w14:textId="55A79E17" w:rsidR="00475EFC" w:rsidRDefault="006F45F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习近平总书记给四所交通大学全体师生重要回信精神的价值意蕴与践行路径研究</w:t>
            </w:r>
          </w:p>
        </w:tc>
        <w:tc>
          <w:tcPr>
            <w:tcW w:w="992" w:type="dxa"/>
            <w:noWrap/>
            <w:vAlign w:val="center"/>
          </w:tcPr>
          <w:p w14:paraId="23B6C179" w14:textId="1A68ADB4" w:rsidR="00475EFC" w:rsidRDefault="006F45F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魏崇辉</w:t>
            </w:r>
          </w:p>
        </w:tc>
      </w:tr>
      <w:tr w:rsidR="00475EFC" w14:paraId="75523448" w14:textId="77777777">
        <w:trPr>
          <w:trHeight w:val="567"/>
        </w:trPr>
        <w:tc>
          <w:tcPr>
            <w:tcW w:w="851" w:type="dxa"/>
            <w:vAlign w:val="center"/>
          </w:tcPr>
          <w:p w14:paraId="03A6676D"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3</w:t>
            </w:r>
          </w:p>
        </w:tc>
        <w:tc>
          <w:tcPr>
            <w:tcW w:w="1134" w:type="dxa"/>
            <w:vAlign w:val="center"/>
          </w:tcPr>
          <w:p w14:paraId="21DA66E3"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重点</w:t>
            </w:r>
          </w:p>
        </w:tc>
        <w:tc>
          <w:tcPr>
            <w:tcW w:w="6521" w:type="dxa"/>
            <w:noWrap/>
            <w:vAlign w:val="center"/>
          </w:tcPr>
          <w:p w14:paraId="52A9E55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基于大数据的高校日常监督预警与治理模式研究</w:t>
            </w:r>
          </w:p>
        </w:tc>
        <w:tc>
          <w:tcPr>
            <w:tcW w:w="992" w:type="dxa"/>
            <w:noWrap/>
            <w:vAlign w:val="center"/>
          </w:tcPr>
          <w:p w14:paraId="5ACFEA09"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管逊宝</w:t>
            </w:r>
          </w:p>
        </w:tc>
      </w:tr>
      <w:tr w:rsidR="00475EFC" w14:paraId="63AD8A0C" w14:textId="77777777">
        <w:trPr>
          <w:trHeight w:val="567"/>
        </w:trPr>
        <w:tc>
          <w:tcPr>
            <w:tcW w:w="851" w:type="dxa"/>
            <w:vAlign w:val="center"/>
          </w:tcPr>
          <w:p w14:paraId="6DACA644"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4</w:t>
            </w:r>
          </w:p>
        </w:tc>
        <w:tc>
          <w:tcPr>
            <w:tcW w:w="1134" w:type="dxa"/>
            <w:vAlign w:val="center"/>
          </w:tcPr>
          <w:p w14:paraId="13735F24"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521" w:type="dxa"/>
            <w:noWrap/>
            <w:vAlign w:val="center"/>
          </w:tcPr>
          <w:p w14:paraId="4C1592DD"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高校基层管理干部队伍选育管用机制研究</w:t>
            </w:r>
          </w:p>
        </w:tc>
        <w:tc>
          <w:tcPr>
            <w:tcW w:w="992" w:type="dxa"/>
            <w:noWrap/>
            <w:vAlign w:val="center"/>
          </w:tcPr>
          <w:p w14:paraId="72AFF742"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 xml:space="preserve">杜  </w:t>
            </w:r>
            <w:proofErr w:type="gramStart"/>
            <w:r>
              <w:rPr>
                <w:rFonts w:ascii="仿宋_GB2312" w:eastAsia="仿宋_GB2312" w:hAnsi="仿宋" w:hint="eastAsia"/>
                <w:sz w:val="22"/>
              </w:rPr>
              <w:t>骁</w:t>
            </w:r>
            <w:proofErr w:type="gramEnd"/>
          </w:p>
        </w:tc>
      </w:tr>
      <w:tr w:rsidR="00475EFC" w14:paraId="4B401E37" w14:textId="77777777">
        <w:trPr>
          <w:trHeight w:val="567"/>
        </w:trPr>
        <w:tc>
          <w:tcPr>
            <w:tcW w:w="851" w:type="dxa"/>
            <w:vAlign w:val="center"/>
          </w:tcPr>
          <w:p w14:paraId="1395DDEE"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5</w:t>
            </w:r>
          </w:p>
        </w:tc>
        <w:tc>
          <w:tcPr>
            <w:tcW w:w="1134" w:type="dxa"/>
            <w:vAlign w:val="center"/>
          </w:tcPr>
          <w:p w14:paraId="776FB8B1"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521" w:type="dxa"/>
            <w:noWrap/>
            <w:vAlign w:val="center"/>
          </w:tcPr>
          <w:p w14:paraId="140D583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人工智能赋能高校基层党建的三重进路</w:t>
            </w:r>
          </w:p>
        </w:tc>
        <w:tc>
          <w:tcPr>
            <w:tcW w:w="992" w:type="dxa"/>
            <w:noWrap/>
            <w:vAlign w:val="center"/>
          </w:tcPr>
          <w:p w14:paraId="5EFDD779"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王辰轩</w:t>
            </w:r>
          </w:p>
        </w:tc>
      </w:tr>
      <w:tr w:rsidR="00475EFC" w14:paraId="62A2BF9A" w14:textId="77777777">
        <w:trPr>
          <w:trHeight w:val="567"/>
        </w:trPr>
        <w:tc>
          <w:tcPr>
            <w:tcW w:w="851" w:type="dxa"/>
            <w:vAlign w:val="center"/>
          </w:tcPr>
          <w:p w14:paraId="75D3F4FA"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6</w:t>
            </w:r>
          </w:p>
        </w:tc>
        <w:tc>
          <w:tcPr>
            <w:tcW w:w="1134" w:type="dxa"/>
            <w:vAlign w:val="center"/>
          </w:tcPr>
          <w:p w14:paraId="5F6A0238"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521" w:type="dxa"/>
            <w:noWrap/>
            <w:vAlign w:val="center"/>
          </w:tcPr>
          <w:p w14:paraId="00E411AA"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高校机关基层管理队伍发展困境与激励机制研究</w:t>
            </w:r>
          </w:p>
        </w:tc>
        <w:tc>
          <w:tcPr>
            <w:tcW w:w="992" w:type="dxa"/>
            <w:noWrap/>
            <w:vAlign w:val="center"/>
          </w:tcPr>
          <w:p w14:paraId="488648C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苗东晓</w:t>
            </w:r>
          </w:p>
        </w:tc>
      </w:tr>
      <w:tr w:rsidR="00475EFC" w14:paraId="0BAC6B94" w14:textId="77777777">
        <w:trPr>
          <w:trHeight w:val="567"/>
        </w:trPr>
        <w:tc>
          <w:tcPr>
            <w:tcW w:w="851" w:type="dxa"/>
            <w:vAlign w:val="center"/>
          </w:tcPr>
          <w:p w14:paraId="189D5CED"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7</w:t>
            </w:r>
          </w:p>
        </w:tc>
        <w:tc>
          <w:tcPr>
            <w:tcW w:w="1134" w:type="dxa"/>
            <w:vAlign w:val="center"/>
          </w:tcPr>
          <w:p w14:paraId="6802ABBD"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521" w:type="dxa"/>
            <w:noWrap/>
            <w:vAlign w:val="center"/>
          </w:tcPr>
          <w:p w14:paraId="498361FA"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高校民主党派年轻干部队伍建设的问题与对策研究</w:t>
            </w:r>
          </w:p>
        </w:tc>
        <w:tc>
          <w:tcPr>
            <w:tcW w:w="992" w:type="dxa"/>
            <w:noWrap/>
            <w:vAlign w:val="center"/>
          </w:tcPr>
          <w:p w14:paraId="50529860"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张  蓉</w:t>
            </w:r>
          </w:p>
        </w:tc>
      </w:tr>
      <w:tr w:rsidR="00475EFC" w14:paraId="0AA9CD9A" w14:textId="77777777">
        <w:trPr>
          <w:trHeight w:val="567"/>
        </w:trPr>
        <w:tc>
          <w:tcPr>
            <w:tcW w:w="851" w:type="dxa"/>
            <w:vAlign w:val="center"/>
          </w:tcPr>
          <w:p w14:paraId="70A7B1ED"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8</w:t>
            </w:r>
          </w:p>
        </w:tc>
        <w:tc>
          <w:tcPr>
            <w:tcW w:w="1134" w:type="dxa"/>
            <w:vAlign w:val="center"/>
          </w:tcPr>
          <w:p w14:paraId="6C61D4E5"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521" w:type="dxa"/>
            <w:noWrap/>
            <w:vAlign w:val="center"/>
          </w:tcPr>
          <w:p w14:paraId="00314284"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智媒体时代高校讲好中国故事的策略与路径研究</w:t>
            </w:r>
          </w:p>
        </w:tc>
        <w:tc>
          <w:tcPr>
            <w:tcW w:w="992" w:type="dxa"/>
            <w:noWrap/>
            <w:vAlign w:val="center"/>
          </w:tcPr>
          <w:p w14:paraId="7CD1760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刘  伟</w:t>
            </w:r>
          </w:p>
        </w:tc>
      </w:tr>
      <w:tr w:rsidR="00475EFC" w14:paraId="07214805" w14:textId="77777777">
        <w:trPr>
          <w:trHeight w:val="567"/>
        </w:trPr>
        <w:tc>
          <w:tcPr>
            <w:tcW w:w="851" w:type="dxa"/>
            <w:vAlign w:val="center"/>
          </w:tcPr>
          <w:p w14:paraId="2F4153C1"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9</w:t>
            </w:r>
          </w:p>
        </w:tc>
        <w:tc>
          <w:tcPr>
            <w:tcW w:w="1134" w:type="dxa"/>
            <w:vAlign w:val="center"/>
          </w:tcPr>
          <w:p w14:paraId="7836DF89"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521" w:type="dxa"/>
            <w:noWrap/>
            <w:vAlign w:val="center"/>
          </w:tcPr>
          <w:p w14:paraId="6C2A957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“双一流”高校国际传播能力提升的战略布局与实践路径研究</w:t>
            </w:r>
          </w:p>
        </w:tc>
        <w:tc>
          <w:tcPr>
            <w:tcW w:w="992" w:type="dxa"/>
            <w:noWrap/>
            <w:vAlign w:val="center"/>
          </w:tcPr>
          <w:p w14:paraId="38B4B219"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曾玉竹</w:t>
            </w:r>
          </w:p>
        </w:tc>
      </w:tr>
      <w:tr w:rsidR="00475EFC" w14:paraId="07DDFF21" w14:textId="77777777">
        <w:trPr>
          <w:trHeight w:val="567"/>
        </w:trPr>
        <w:tc>
          <w:tcPr>
            <w:tcW w:w="851" w:type="dxa"/>
            <w:vAlign w:val="center"/>
          </w:tcPr>
          <w:p w14:paraId="22D4A09D"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1</w:t>
            </w:r>
            <w:r>
              <w:rPr>
                <w:rFonts w:ascii="仿宋_GB2312" w:eastAsia="仿宋_GB2312" w:hAnsi="仿宋"/>
                <w:sz w:val="22"/>
              </w:rPr>
              <w:t>0</w:t>
            </w:r>
          </w:p>
        </w:tc>
        <w:tc>
          <w:tcPr>
            <w:tcW w:w="1134" w:type="dxa"/>
            <w:vAlign w:val="center"/>
          </w:tcPr>
          <w:p w14:paraId="522274BC"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521" w:type="dxa"/>
            <w:noWrap/>
            <w:vAlign w:val="center"/>
          </w:tcPr>
          <w:p w14:paraId="0EE53800"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“双一流”高校国际传播能力提升的战略布局与实践路径研究</w:t>
            </w:r>
          </w:p>
        </w:tc>
        <w:tc>
          <w:tcPr>
            <w:tcW w:w="992" w:type="dxa"/>
            <w:noWrap/>
            <w:vAlign w:val="center"/>
          </w:tcPr>
          <w:p w14:paraId="0AA21A7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江倩倩</w:t>
            </w:r>
          </w:p>
        </w:tc>
      </w:tr>
      <w:tr w:rsidR="00475EFC" w14:paraId="3591660D" w14:textId="77777777">
        <w:trPr>
          <w:trHeight w:val="567"/>
        </w:trPr>
        <w:tc>
          <w:tcPr>
            <w:tcW w:w="851" w:type="dxa"/>
            <w:vAlign w:val="center"/>
          </w:tcPr>
          <w:p w14:paraId="6A915BCB"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1</w:t>
            </w:r>
            <w:r>
              <w:rPr>
                <w:rFonts w:ascii="仿宋_GB2312" w:eastAsia="仿宋_GB2312" w:hAnsi="仿宋"/>
                <w:sz w:val="22"/>
              </w:rPr>
              <w:t>1</w:t>
            </w:r>
          </w:p>
        </w:tc>
        <w:tc>
          <w:tcPr>
            <w:tcW w:w="1134" w:type="dxa"/>
            <w:vAlign w:val="center"/>
          </w:tcPr>
          <w:p w14:paraId="657B6D89"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521" w:type="dxa"/>
            <w:noWrap/>
            <w:vAlign w:val="center"/>
          </w:tcPr>
          <w:p w14:paraId="4B260519"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“双一流”高校国际传播能力提升的战略布局与实践路径研究</w:t>
            </w:r>
          </w:p>
        </w:tc>
        <w:tc>
          <w:tcPr>
            <w:tcW w:w="992" w:type="dxa"/>
            <w:noWrap/>
            <w:vAlign w:val="center"/>
          </w:tcPr>
          <w:p w14:paraId="0C9E723E"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刘  俭</w:t>
            </w:r>
          </w:p>
        </w:tc>
      </w:tr>
      <w:tr w:rsidR="00475EFC" w14:paraId="12F67171" w14:textId="77777777">
        <w:trPr>
          <w:trHeight w:val="567"/>
        </w:trPr>
        <w:tc>
          <w:tcPr>
            <w:tcW w:w="851" w:type="dxa"/>
            <w:vAlign w:val="center"/>
          </w:tcPr>
          <w:p w14:paraId="2604DD09"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1</w:t>
            </w:r>
            <w:r>
              <w:rPr>
                <w:rFonts w:ascii="仿宋_GB2312" w:eastAsia="仿宋_GB2312" w:hAnsi="仿宋"/>
                <w:sz w:val="22"/>
              </w:rPr>
              <w:t>2</w:t>
            </w:r>
          </w:p>
        </w:tc>
        <w:tc>
          <w:tcPr>
            <w:tcW w:w="1134" w:type="dxa"/>
            <w:vAlign w:val="center"/>
          </w:tcPr>
          <w:p w14:paraId="23A073B8"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521" w:type="dxa"/>
            <w:noWrap/>
            <w:vAlign w:val="center"/>
          </w:tcPr>
          <w:p w14:paraId="5D841E54"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“求实学、务实业”办学宗旨的时代内涵与育人转化机制研究</w:t>
            </w:r>
          </w:p>
        </w:tc>
        <w:tc>
          <w:tcPr>
            <w:tcW w:w="992" w:type="dxa"/>
            <w:noWrap/>
            <w:vAlign w:val="center"/>
          </w:tcPr>
          <w:p w14:paraId="308C571B"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狄凌芳</w:t>
            </w:r>
          </w:p>
        </w:tc>
      </w:tr>
      <w:tr w:rsidR="00475EFC" w14:paraId="1FCAC8A0" w14:textId="77777777">
        <w:trPr>
          <w:trHeight w:val="567"/>
        </w:trPr>
        <w:tc>
          <w:tcPr>
            <w:tcW w:w="851" w:type="dxa"/>
            <w:vAlign w:val="center"/>
          </w:tcPr>
          <w:p w14:paraId="136AAC3C"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1</w:t>
            </w:r>
            <w:r>
              <w:rPr>
                <w:rFonts w:ascii="仿宋_GB2312" w:eastAsia="仿宋_GB2312" w:hAnsi="仿宋"/>
                <w:sz w:val="22"/>
              </w:rPr>
              <w:t>3</w:t>
            </w:r>
          </w:p>
        </w:tc>
        <w:tc>
          <w:tcPr>
            <w:tcW w:w="1134" w:type="dxa"/>
            <w:vAlign w:val="center"/>
          </w:tcPr>
          <w:p w14:paraId="7E5E256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521" w:type="dxa"/>
            <w:noWrap/>
            <w:vAlign w:val="center"/>
          </w:tcPr>
          <w:p w14:paraId="7CCDD5AD"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“求实学、务实业”办学传统的历史内涵与当代育人价值研究</w:t>
            </w:r>
          </w:p>
        </w:tc>
        <w:tc>
          <w:tcPr>
            <w:tcW w:w="992" w:type="dxa"/>
            <w:noWrap/>
            <w:vAlign w:val="center"/>
          </w:tcPr>
          <w:p w14:paraId="7F8B5863"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刘训茜</w:t>
            </w:r>
          </w:p>
        </w:tc>
      </w:tr>
      <w:tr w:rsidR="00475EFC" w14:paraId="60CFE71B" w14:textId="77777777">
        <w:trPr>
          <w:trHeight w:val="567"/>
        </w:trPr>
        <w:tc>
          <w:tcPr>
            <w:tcW w:w="851" w:type="dxa"/>
            <w:vAlign w:val="center"/>
          </w:tcPr>
          <w:p w14:paraId="417F62F0"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1</w:t>
            </w:r>
            <w:r>
              <w:rPr>
                <w:rFonts w:ascii="仿宋_GB2312" w:eastAsia="仿宋_GB2312" w:hAnsi="仿宋"/>
                <w:sz w:val="22"/>
              </w:rPr>
              <w:t>4</w:t>
            </w:r>
          </w:p>
        </w:tc>
        <w:tc>
          <w:tcPr>
            <w:tcW w:w="1134" w:type="dxa"/>
            <w:vAlign w:val="center"/>
          </w:tcPr>
          <w:p w14:paraId="4F036F99"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521" w:type="dxa"/>
            <w:noWrap/>
            <w:vAlign w:val="center"/>
          </w:tcPr>
          <w:p w14:paraId="51DD1553"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数智视域下军民融合特色资源创新服务与思政引领力提升路径研究</w:t>
            </w:r>
          </w:p>
        </w:tc>
        <w:tc>
          <w:tcPr>
            <w:tcW w:w="992" w:type="dxa"/>
            <w:noWrap/>
            <w:vAlign w:val="center"/>
          </w:tcPr>
          <w:p w14:paraId="2987FBB4"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周彦嘉</w:t>
            </w:r>
          </w:p>
        </w:tc>
      </w:tr>
      <w:tr w:rsidR="00475EFC" w14:paraId="5E10BD7E" w14:textId="77777777">
        <w:trPr>
          <w:trHeight w:val="519"/>
        </w:trPr>
        <w:tc>
          <w:tcPr>
            <w:tcW w:w="851" w:type="dxa"/>
            <w:vAlign w:val="center"/>
          </w:tcPr>
          <w:p w14:paraId="22E1D1EC"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1</w:t>
            </w:r>
            <w:r>
              <w:rPr>
                <w:rFonts w:ascii="仿宋_GB2312" w:eastAsia="仿宋_GB2312" w:hAnsi="仿宋"/>
                <w:sz w:val="22"/>
              </w:rPr>
              <w:t>5</w:t>
            </w:r>
          </w:p>
        </w:tc>
        <w:tc>
          <w:tcPr>
            <w:tcW w:w="1134" w:type="dxa"/>
            <w:vAlign w:val="center"/>
          </w:tcPr>
          <w:p w14:paraId="4C3F1FC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521" w:type="dxa"/>
            <w:noWrap/>
            <w:vAlign w:val="center"/>
          </w:tcPr>
          <w:p w14:paraId="2CB2F55A"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高校学生日常矛盾化解与风险防范策略研究——基于服务类诉求前置化解的实证分析</w:t>
            </w:r>
          </w:p>
        </w:tc>
        <w:tc>
          <w:tcPr>
            <w:tcW w:w="992" w:type="dxa"/>
            <w:noWrap/>
            <w:vAlign w:val="center"/>
          </w:tcPr>
          <w:p w14:paraId="687B524A"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汤莹莹</w:t>
            </w:r>
          </w:p>
        </w:tc>
      </w:tr>
      <w:tr w:rsidR="00475EFC" w14:paraId="157E59D1" w14:textId="77777777">
        <w:trPr>
          <w:trHeight w:val="458"/>
        </w:trPr>
        <w:tc>
          <w:tcPr>
            <w:tcW w:w="851" w:type="dxa"/>
            <w:vAlign w:val="center"/>
          </w:tcPr>
          <w:p w14:paraId="43427818"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1</w:t>
            </w:r>
            <w:r>
              <w:rPr>
                <w:rFonts w:ascii="仿宋_GB2312" w:eastAsia="仿宋_GB2312" w:hAnsi="仿宋"/>
                <w:sz w:val="22"/>
              </w:rPr>
              <w:t>6</w:t>
            </w:r>
          </w:p>
        </w:tc>
        <w:tc>
          <w:tcPr>
            <w:tcW w:w="1134" w:type="dxa"/>
            <w:vAlign w:val="center"/>
          </w:tcPr>
          <w:p w14:paraId="68060B15"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521" w:type="dxa"/>
            <w:noWrap/>
            <w:vAlign w:val="center"/>
          </w:tcPr>
          <w:p w14:paraId="4AE400B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新时代留学归国人员统战工作创新路径研究</w:t>
            </w:r>
          </w:p>
        </w:tc>
        <w:tc>
          <w:tcPr>
            <w:tcW w:w="992" w:type="dxa"/>
            <w:noWrap/>
            <w:vAlign w:val="center"/>
          </w:tcPr>
          <w:p w14:paraId="27FC4F63"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陈  亮</w:t>
            </w:r>
          </w:p>
        </w:tc>
      </w:tr>
      <w:tr w:rsidR="00475EFC" w14:paraId="1A0158F2" w14:textId="77777777">
        <w:trPr>
          <w:trHeight w:val="567"/>
        </w:trPr>
        <w:tc>
          <w:tcPr>
            <w:tcW w:w="851" w:type="dxa"/>
            <w:vAlign w:val="center"/>
          </w:tcPr>
          <w:p w14:paraId="2B485A0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lastRenderedPageBreak/>
              <w:t>17</w:t>
            </w:r>
          </w:p>
        </w:tc>
        <w:tc>
          <w:tcPr>
            <w:tcW w:w="1134" w:type="dxa"/>
            <w:vAlign w:val="center"/>
          </w:tcPr>
          <w:p w14:paraId="11B293BD"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521" w:type="dxa"/>
            <w:noWrap/>
            <w:vAlign w:val="center"/>
          </w:tcPr>
          <w:p w14:paraId="0ADA814C"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医学院校党外知识分子思想政治引领的效能提升研究</w:t>
            </w:r>
          </w:p>
        </w:tc>
        <w:tc>
          <w:tcPr>
            <w:tcW w:w="992" w:type="dxa"/>
            <w:noWrap/>
            <w:vAlign w:val="center"/>
          </w:tcPr>
          <w:p w14:paraId="7B9EE698"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于沛东</w:t>
            </w:r>
          </w:p>
        </w:tc>
      </w:tr>
      <w:tr w:rsidR="00475EFC" w14:paraId="3EC35155" w14:textId="77777777">
        <w:trPr>
          <w:trHeight w:val="567"/>
        </w:trPr>
        <w:tc>
          <w:tcPr>
            <w:tcW w:w="851" w:type="dxa"/>
            <w:vAlign w:val="center"/>
          </w:tcPr>
          <w:p w14:paraId="40BDFBFA"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18</w:t>
            </w:r>
          </w:p>
        </w:tc>
        <w:tc>
          <w:tcPr>
            <w:tcW w:w="1134" w:type="dxa"/>
            <w:vAlign w:val="center"/>
          </w:tcPr>
          <w:p w14:paraId="53788B4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521" w:type="dxa"/>
            <w:noWrap/>
            <w:vAlign w:val="center"/>
          </w:tcPr>
          <w:p w14:paraId="5283D405"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高校科研失信风险预警的巡视路径研究</w:t>
            </w:r>
          </w:p>
        </w:tc>
        <w:tc>
          <w:tcPr>
            <w:tcW w:w="992" w:type="dxa"/>
            <w:noWrap/>
            <w:vAlign w:val="center"/>
          </w:tcPr>
          <w:p w14:paraId="2669AA9F"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李  伟</w:t>
            </w:r>
          </w:p>
        </w:tc>
      </w:tr>
      <w:tr w:rsidR="00475EFC" w14:paraId="3189C860" w14:textId="77777777">
        <w:trPr>
          <w:trHeight w:val="567"/>
        </w:trPr>
        <w:tc>
          <w:tcPr>
            <w:tcW w:w="851" w:type="dxa"/>
            <w:vAlign w:val="center"/>
          </w:tcPr>
          <w:p w14:paraId="6613ECDD"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19</w:t>
            </w:r>
          </w:p>
        </w:tc>
        <w:tc>
          <w:tcPr>
            <w:tcW w:w="1134" w:type="dxa"/>
            <w:vAlign w:val="center"/>
          </w:tcPr>
          <w:p w14:paraId="2572C2F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521" w:type="dxa"/>
            <w:noWrap/>
            <w:vAlign w:val="center"/>
          </w:tcPr>
          <w:p w14:paraId="3EAE27B1"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高校二级单位提升基层监督质效的机制研究</w:t>
            </w:r>
          </w:p>
        </w:tc>
        <w:tc>
          <w:tcPr>
            <w:tcW w:w="992" w:type="dxa"/>
            <w:noWrap/>
            <w:vAlign w:val="center"/>
          </w:tcPr>
          <w:p w14:paraId="3A35805A"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谷学森</w:t>
            </w:r>
          </w:p>
        </w:tc>
      </w:tr>
      <w:tr w:rsidR="00475EFC" w14:paraId="1A22C886" w14:textId="77777777">
        <w:trPr>
          <w:trHeight w:val="567"/>
        </w:trPr>
        <w:tc>
          <w:tcPr>
            <w:tcW w:w="851" w:type="dxa"/>
            <w:vAlign w:val="center"/>
          </w:tcPr>
          <w:p w14:paraId="0DD8CFE3"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20</w:t>
            </w:r>
          </w:p>
        </w:tc>
        <w:tc>
          <w:tcPr>
            <w:tcW w:w="1134" w:type="dxa"/>
            <w:vAlign w:val="center"/>
          </w:tcPr>
          <w:p w14:paraId="51ABF61B"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521" w:type="dxa"/>
            <w:noWrap/>
            <w:vAlign w:val="center"/>
          </w:tcPr>
          <w:p w14:paraId="4D0D3DF4"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高校机关工会的组织优势与功能优化路径研究</w:t>
            </w:r>
          </w:p>
        </w:tc>
        <w:tc>
          <w:tcPr>
            <w:tcW w:w="992" w:type="dxa"/>
            <w:noWrap/>
            <w:vAlign w:val="center"/>
          </w:tcPr>
          <w:p w14:paraId="100E92CF"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李  玲</w:t>
            </w:r>
          </w:p>
        </w:tc>
      </w:tr>
      <w:tr w:rsidR="00475EFC" w14:paraId="643F9DDE" w14:textId="77777777">
        <w:trPr>
          <w:trHeight w:val="567"/>
        </w:trPr>
        <w:tc>
          <w:tcPr>
            <w:tcW w:w="851" w:type="dxa"/>
            <w:vAlign w:val="center"/>
          </w:tcPr>
          <w:p w14:paraId="43736E6F"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21</w:t>
            </w:r>
          </w:p>
        </w:tc>
        <w:tc>
          <w:tcPr>
            <w:tcW w:w="1134" w:type="dxa"/>
            <w:vAlign w:val="center"/>
          </w:tcPr>
          <w:p w14:paraId="3E60632E"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521" w:type="dxa"/>
            <w:noWrap/>
            <w:vAlign w:val="center"/>
          </w:tcPr>
          <w:p w14:paraId="12C9A0CC"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数智驱动的高校教职工需求画像与工会精准服务效能评估机制研究</w:t>
            </w:r>
          </w:p>
        </w:tc>
        <w:tc>
          <w:tcPr>
            <w:tcW w:w="992" w:type="dxa"/>
            <w:noWrap/>
            <w:vAlign w:val="center"/>
          </w:tcPr>
          <w:p w14:paraId="5C2A77B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洪  亮</w:t>
            </w:r>
          </w:p>
        </w:tc>
      </w:tr>
      <w:tr w:rsidR="00475EFC" w14:paraId="23994D0E" w14:textId="77777777">
        <w:trPr>
          <w:trHeight w:val="567"/>
        </w:trPr>
        <w:tc>
          <w:tcPr>
            <w:tcW w:w="851" w:type="dxa"/>
            <w:vAlign w:val="center"/>
          </w:tcPr>
          <w:p w14:paraId="7798272F"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22</w:t>
            </w:r>
          </w:p>
        </w:tc>
        <w:tc>
          <w:tcPr>
            <w:tcW w:w="1134" w:type="dxa"/>
            <w:vAlign w:val="center"/>
          </w:tcPr>
          <w:p w14:paraId="2324389A"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青年</w:t>
            </w:r>
          </w:p>
        </w:tc>
        <w:tc>
          <w:tcPr>
            <w:tcW w:w="6521" w:type="dxa"/>
            <w:noWrap/>
            <w:vAlign w:val="center"/>
          </w:tcPr>
          <w:p w14:paraId="3F9C2F9B"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新时代高校青年党外知识分子思想政治引领实效性研究</w:t>
            </w:r>
          </w:p>
        </w:tc>
        <w:tc>
          <w:tcPr>
            <w:tcW w:w="992" w:type="dxa"/>
            <w:noWrap/>
            <w:vAlign w:val="center"/>
          </w:tcPr>
          <w:p w14:paraId="65DB27F8"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李  艳</w:t>
            </w:r>
          </w:p>
        </w:tc>
      </w:tr>
      <w:tr w:rsidR="00475EFC" w14:paraId="16AAFCA9" w14:textId="77777777">
        <w:trPr>
          <w:trHeight w:val="567"/>
        </w:trPr>
        <w:tc>
          <w:tcPr>
            <w:tcW w:w="851" w:type="dxa"/>
            <w:vAlign w:val="center"/>
          </w:tcPr>
          <w:p w14:paraId="4B2DE482"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2</w:t>
            </w:r>
            <w:r>
              <w:rPr>
                <w:rFonts w:ascii="仿宋_GB2312" w:eastAsia="仿宋_GB2312" w:hAnsi="仿宋"/>
                <w:sz w:val="22"/>
              </w:rPr>
              <w:t>3</w:t>
            </w:r>
          </w:p>
        </w:tc>
        <w:tc>
          <w:tcPr>
            <w:tcW w:w="1134" w:type="dxa"/>
            <w:vAlign w:val="center"/>
          </w:tcPr>
          <w:p w14:paraId="3AA42193"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青年</w:t>
            </w:r>
          </w:p>
        </w:tc>
        <w:tc>
          <w:tcPr>
            <w:tcW w:w="6521" w:type="dxa"/>
            <w:noWrap/>
            <w:vAlign w:val="center"/>
          </w:tcPr>
          <w:p w14:paraId="45A8CFC8"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中国故事在高校重大主题宣传中的叙事转化与效果研究——以上海交通大学建校130周年系列宣传为例</w:t>
            </w:r>
          </w:p>
        </w:tc>
        <w:tc>
          <w:tcPr>
            <w:tcW w:w="992" w:type="dxa"/>
            <w:noWrap/>
            <w:vAlign w:val="center"/>
          </w:tcPr>
          <w:p w14:paraId="7837FB2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 xml:space="preserve">谢  </w:t>
            </w:r>
            <w:proofErr w:type="gramStart"/>
            <w:r>
              <w:rPr>
                <w:rFonts w:ascii="仿宋_GB2312" w:eastAsia="仿宋_GB2312" w:hAnsi="仿宋" w:hint="eastAsia"/>
                <w:sz w:val="22"/>
              </w:rPr>
              <w:t>婧</w:t>
            </w:r>
            <w:proofErr w:type="gramEnd"/>
          </w:p>
        </w:tc>
      </w:tr>
    </w:tbl>
    <w:p w14:paraId="20479A70" w14:textId="77777777" w:rsidR="00475EFC" w:rsidRDefault="00475EFC">
      <w:pPr>
        <w:adjustRightInd w:val="0"/>
        <w:snapToGrid w:val="0"/>
        <w:jc w:val="center"/>
        <w:rPr>
          <w:rFonts w:ascii="仿宋_GB2312" w:eastAsia="仿宋_GB2312" w:hAnsi="仿宋" w:cs="仿宋_GB2312" w:hint="eastAsia"/>
          <w:b/>
          <w:kern w:val="0"/>
          <w:sz w:val="28"/>
          <w:szCs w:val="28"/>
          <w:shd w:val="clear" w:color="auto" w:fill="FFFFFF"/>
          <w:lang w:bidi="ar"/>
        </w:rPr>
      </w:pPr>
    </w:p>
    <w:p w14:paraId="75FC8131" w14:textId="77777777" w:rsidR="00475EFC" w:rsidRDefault="00722AA8">
      <w:pPr>
        <w:adjustRightInd w:val="0"/>
        <w:snapToGrid w:val="0"/>
        <w:jc w:val="center"/>
        <w:rPr>
          <w:rFonts w:ascii="仿宋_GB2312" w:eastAsia="仿宋_GB2312" w:hAnsi="仿宋" w:cs="仿宋_GB2312" w:hint="eastAsia"/>
          <w:b/>
          <w:kern w:val="0"/>
          <w:sz w:val="28"/>
          <w:szCs w:val="28"/>
          <w:shd w:val="clear" w:color="auto" w:fill="FFFFFF"/>
          <w:lang w:bidi="ar"/>
        </w:rPr>
      </w:pPr>
      <w:r>
        <w:rPr>
          <w:rFonts w:ascii="仿宋_GB2312" w:eastAsia="仿宋_GB2312" w:hAnsi="仿宋" w:cs="仿宋_GB2312" w:hint="eastAsia"/>
          <w:b/>
          <w:kern w:val="0"/>
          <w:sz w:val="28"/>
          <w:szCs w:val="28"/>
          <w:shd w:val="clear" w:color="auto" w:fill="FFFFFF"/>
          <w:lang w:bidi="ar"/>
        </w:rPr>
        <w:t>表2：综合改革专项</w:t>
      </w:r>
    </w:p>
    <w:p w14:paraId="72F53214" w14:textId="77777777" w:rsidR="00475EFC" w:rsidRDefault="00722AA8">
      <w:pPr>
        <w:jc w:val="center"/>
        <w:rPr>
          <w:rFonts w:ascii="仿宋_GB2312" w:eastAsia="仿宋_GB2312" w:hAnsi="仿宋" w:cs="仿宋_GB2312" w:hint="eastAsia"/>
          <w:b/>
          <w:kern w:val="0"/>
          <w:sz w:val="28"/>
          <w:szCs w:val="28"/>
          <w:shd w:val="clear" w:color="auto" w:fill="FFFFFF"/>
          <w:lang w:bidi="ar"/>
        </w:rPr>
      </w:pPr>
      <w:r>
        <w:rPr>
          <w:rFonts w:ascii="仿宋_GB2312" w:eastAsia="仿宋_GB2312" w:hAnsi="仿宋" w:cs="仿宋_GB2312" w:hint="eastAsia"/>
          <w:b/>
          <w:kern w:val="0"/>
          <w:sz w:val="28"/>
          <w:szCs w:val="28"/>
          <w:shd w:val="clear" w:color="auto" w:fill="FFFFFF"/>
          <w:lang w:bidi="ar"/>
        </w:rPr>
        <w:t>（共75项，其中重点课题5项，一般课题55项，青年课题15项）</w:t>
      </w:r>
    </w:p>
    <w:tbl>
      <w:tblPr>
        <w:tblStyle w:val="a9"/>
        <w:tblW w:w="9640" w:type="dxa"/>
        <w:tblInd w:w="-289" w:type="dxa"/>
        <w:tblLayout w:type="fixed"/>
        <w:tblLook w:val="04A0" w:firstRow="1" w:lastRow="0" w:firstColumn="1" w:lastColumn="0" w:noHBand="0" w:noVBand="1"/>
      </w:tblPr>
      <w:tblGrid>
        <w:gridCol w:w="710"/>
        <w:gridCol w:w="992"/>
        <w:gridCol w:w="6946"/>
        <w:gridCol w:w="992"/>
      </w:tblGrid>
      <w:tr w:rsidR="00475EFC" w14:paraId="20B0E1C9" w14:textId="77777777">
        <w:trPr>
          <w:trHeight w:val="567"/>
        </w:trPr>
        <w:tc>
          <w:tcPr>
            <w:tcW w:w="710" w:type="dxa"/>
            <w:vAlign w:val="center"/>
          </w:tcPr>
          <w:p w14:paraId="438F1E14" w14:textId="77777777" w:rsidR="00475EFC" w:rsidRDefault="00722AA8">
            <w:pPr>
              <w:adjustRightInd w:val="0"/>
              <w:snapToGrid w:val="0"/>
              <w:spacing w:line="240" w:lineRule="auto"/>
              <w:jc w:val="center"/>
              <w:rPr>
                <w:rFonts w:ascii="仿宋_GB2312" w:eastAsia="仿宋_GB2312" w:hAnsi="仿宋" w:hint="eastAsia"/>
                <w:b/>
                <w:sz w:val="22"/>
              </w:rPr>
            </w:pPr>
            <w:r>
              <w:rPr>
                <w:rFonts w:ascii="仿宋_GB2312" w:eastAsia="仿宋_GB2312" w:hAnsi="仿宋" w:hint="eastAsia"/>
                <w:b/>
                <w:sz w:val="22"/>
              </w:rPr>
              <w:t>序号</w:t>
            </w:r>
          </w:p>
        </w:tc>
        <w:tc>
          <w:tcPr>
            <w:tcW w:w="992" w:type="dxa"/>
            <w:vAlign w:val="center"/>
          </w:tcPr>
          <w:p w14:paraId="6481C5FF" w14:textId="77777777" w:rsidR="00475EFC" w:rsidRDefault="00722AA8">
            <w:pPr>
              <w:adjustRightInd w:val="0"/>
              <w:snapToGrid w:val="0"/>
              <w:spacing w:line="240" w:lineRule="auto"/>
              <w:jc w:val="center"/>
              <w:rPr>
                <w:rFonts w:ascii="仿宋_GB2312" w:eastAsia="仿宋_GB2312" w:hAnsi="仿宋" w:hint="eastAsia"/>
                <w:b/>
                <w:sz w:val="22"/>
              </w:rPr>
            </w:pPr>
            <w:r>
              <w:rPr>
                <w:rFonts w:ascii="仿宋_GB2312" w:eastAsia="仿宋_GB2312" w:hAnsi="仿宋" w:hint="eastAsia"/>
                <w:b/>
                <w:sz w:val="22"/>
              </w:rPr>
              <w:t>课题层次</w:t>
            </w:r>
          </w:p>
        </w:tc>
        <w:tc>
          <w:tcPr>
            <w:tcW w:w="6946" w:type="dxa"/>
            <w:noWrap/>
            <w:vAlign w:val="center"/>
          </w:tcPr>
          <w:p w14:paraId="6195B495" w14:textId="77777777" w:rsidR="00475EFC" w:rsidRDefault="00722AA8">
            <w:pPr>
              <w:adjustRightInd w:val="0"/>
              <w:snapToGrid w:val="0"/>
              <w:spacing w:line="240" w:lineRule="auto"/>
              <w:jc w:val="center"/>
              <w:rPr>
                <w:rFonts w:ascii="仿宋_GB2312" w:eastAsia="仿宋_GB2312" w:hAnsi="仿宋" w:hint="eastAsia"/>
                <w:b/>
                <w:sz w:val="22"/>
              </w:rPr>
            </w:pPr>
            <w:r>
              <w:rPr>
                <w:rFonts w:ascii="仿宋_GB2312" w:eastAsia="仿宋_GB2312" w:hAnsi="仿宋" w:hint="eastAsia"/>
                <w:b/>
                <w:sz w:val="22"/>
              </w:rPr>
              <w:t>课题名称</w:t>
            </w:r>
          </w:p>
        </w:tc>
        <w:tc>
          <w:tcPr>
            <w:tcW w:w="992" w:type="dxa"/>
            <w:noWrap/>
            <w:vAlign w:val="center"/>
          </w:tcPr>
          <w:p w14:paraId="473D9604" w14:textId="77777777" w:rsidR="00475EFC" w:rsidRDefault="00722AA8">
            <w:pPr>
              <w:adjustRightInd w:val="0"/>
              <w:snapToGrid w:val="0"/>
              <w:spacing w:line="240" w:lineRule="auto"/>
              <w:jc w:val="center"/>
              <w:rPr>
                <w:rFonts w:ascii="仿宋_GB2312" w:eastAsia="仿宋_GB2312" w:hAnsi="仿宋" w:hint="eastAsia"/>
                <w:b/>
                <w:sz w:val="22"/>
              </w:rPr>
            </w:pPr>
            <w:r>
              <w:rPr>
                <w:rFonts w:ascii="仿宋_GB2312" w:eastAsia="仿宋_GB2312" w:hAnsi="仿宋" w:hint="eastAsia"/>
                <w:b/>
                <w:sz w:val="22"/>
              </w:rPr>
              <w:t>负责人</w:t>
            </w:r>
          </w:p>
        </w:tc>
      </w:tr>
      <w:tr w:rsidR="00475EFC" w14:paraId="13AB31C1" w14:textId="77777777">
        <w:trPr>
          <w:trHeight w:val="567"/>
        </w:trPr>
        <w:tc>
          <w:tcPr>
            <w:tcW w:w="710" w:type="dxa"/>
            <w:vAlign w:val="center"/>
          </w:tcPr>
          <w:p w14:paraId="3CD296B0"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sz w:val="22"/>
              </w:rPr>
              <w:t>1</w:t>
            </w:r>
          </w:p>
        </w:tc>
        <w:tc>
          <w:tcPr>
            <w:tcW w:w="992" w:type="dxa"/>
            <w:vAlign w:val="center"/>
          </w:tcPr>
          <w:p w14:paraId="75EBC064"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重点</w:t>
            </w:r>
          </w:p>
        </w:tc>
        <w:tc>
          <w:tcPr>
            <w:tcW w:w="6946" w:type="dxa"/>
            <w:noWrap/>
            <w:vAlign w:val="center"/>
          </w:tcPr>
          <w:p w14:paraId="7040B01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国家战略需求牵引的学科专业布局优化调整研究</w:t>
            </w:r>
          </w:p>
        </w:tc>
        <w:tc>
          <w:tcPr>
            <w:tcW w:w="992" w:type="dxa"/>
            <w:noWrap/>
            <w:vAlign w:val="center"/>
          </w:tcPr>
          <w:p w14:paraId="7CB0549E"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刘精精</w:t>
            </w:r>
          </w:p>
        </w:tc>
      </w:tr>
      <w:tr w:rsidR="00475EFC" w14:paraId="335F55C2" w14:textId="77777777">
        <w:trPr>
          <w:trHeight w:val="567"/>
        </w:trPr>
        <w:tc>
          <w:tcPr>
            <w:tcW w:w="710" w:type="dxa"/>
            <w:vAlign w:val="center"/>
          </w:tcPr>
          <w:p w14:paraId="29A0726F"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sz w:val="22"/>
              </w:rPr>
              <w:t>2</w:t>
            </w:r>
          </w:p>
        </w:tc>
        <w:tc>
          <w:tcPr>
            <w:tcW w:w="992" w:type="dxa"/>
            <w:vAlign w:val="center"/>
          </w:tcPr>
          <w:p w14:paraId="0B52E472"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重点</w:t>
            </w:r>
          </w:p>
        </w:tc>
        <w:tc>
          <w:tcPr>
            <w:tcW w:w="6946" w:type="dxa"/>
            <w:noWrap/>
            <w:vAlign w:val="center"/>
          </w:tcPr>
          <w:p w14:paraId="06128DE8"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人工智能赋能高校非学历教育教学改革的实践探索与路径优化研究</w:t>
            </w:r>
          </w:p>
        </w:tc>
        <w:tc>
          <w:tcPr>
            <w:tcW w:w="992" w:type="dxa"/>
            <w:noWrap/>
            <w:vAlign w:val="center"/>
          </w:tcPr>
          <w:p w14:paraId="10DAC25E"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蒋立峰</w:t>
            </w:r>
          </w:p>
        </w:tc>
      </w:tr>
      <w:tr w:rsidR="00475EFC" w14:paraId="57E8B961" w14:textId="77777777">
        <w:trPr>
          <w:trHeight w:val="567"/>
        </w:trPr>
        <w:tc>
          <w:tcPr>
            <w:tcW w:w="710" w:type="dxa"/>
            <w:vAlign w:val="center"/>
          </w:tcPr>
          <w:p w14:paraId="6B69C37F"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sz w:val="22"/>
              </w:rPr>
              <w:t>3</w:t>
            </w:r>
          </w:p>
        </w:tc>
        <w:tc>
          <w:tcPr>
            <w:tcW w:w="992" w:type="dxa"/>
            <w:vAlign w:val="center"/>
          </w:tcPr>
          <w:p w14:paraId="537DDF0A"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重点</w:t>
            </w:r>
          </w:p>
        </w:tc>
        <w:tc>
          <w:tcPr>
            <w:tcW w:w="6946" w:type="dxa"/>
            <w:noWrap/>
            <w:vAlign w:val="center"/>
          </w:tcPr>
          <w:p w14:paraId="1EE25EDF"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人工智能赋能高校教育教学改革的实践探索与路径优化研究</w:t>
            </w:r>
          </w:p>
        </w:tc>
        <w:tc>
          <w:tcPr>
            <w:tcW w:w="992" w:type="dxa"/>
            <w:noWrap/>
            <w:vAlign w:val="center"/>
          </w:tcPr>
          <w:p w14:paraId="6D5E5B7D"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仝月荣</w:t>
            </w:r>
          </w:p>
        </w:tc>
      </w:tr>
      <w:tr w:rsidR="00475EFC" w14:paraId="43218F3D" w14:textId="77777777">
        <w:trPr>
          <w:trHeight w:val="567"/>
        </w:trPr>
        <w:tc>
          <w:tcPr>
            <w:tcW w:w="710" w:type="dxa"/>
            <w:vAlign w:val="center"/>
          </w:tcPr>
          <w:p w14:paraId="161C9888"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sz w:val="22"/>
              </w:rPr>
              <w:t>4</w:t>
            </w:r>
          </w:p>
        </w:tc>
        <w:tc>
          <w:tcPr>
            <w:tcW w:w="992" w:type="dxa"/>
            <w:vAlign w:val="center"/>
          </w:tcPr>
          <w:p w14:paraId="62144829"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重点</w:t>
            </w:r>
          </w:p>
        </w:tc>
        <w:tc>
          <w:tcPr>
            <w:tcW w:w="6946" w:type="dxa"/>
            <w:noWrap/>
            <w:vAlign w:val="center"/>
          </w:tcPr>
          <w:p w14:paraId="3F2133EC"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高校基础研究人才评价体系优化路径研究——以上海交通大学生物医药前沿学院为例</w:t>
            </w:r>
          </w:p>
        </w:tc>
        <w:tc>
          <w:tcPr>
            <w:tcW w:w="992" w:type="dxa"/>
            <w:noWrap/>
            <w:vAlign w:val="center"/>
          </w:tcPr>
          <w:p w14:paraId="77D1B534"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章俊梅</w:t>
            </w:r>
          </w:p>
        </w:tc>
      </w:tr>
      <w:tr w:rsidR="00475EFC" w14:paraId="5E0418D0" w14:textId="77777777">
        <w:trPr>
          <w:trHeight w:val="567"/>
        </w:trPr>
        <w:tc>
          <w:tcPr>
            <w:tcW w:w="710" w:type="dxa"/>
            <w:vAlign w:val="center"/>
          </w:tcPr>
          <w:p w14:paraId="79810108"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sz w:val="22"/>
              </w:rPr>
              <w:t>5</w:t>
            </w:r>
          </w:p>
        </w:tc>
        <w:tc>
          <w:tcPr>
            <w:tcW w:w="992" w:type="dxa"/>
            <w:vAlign w:val="center"/>
          </w:tcPr>
          <w:p w14:paraId="651182FF"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重点</w:t>
            </w:r>
          </w:p>
        </w:tc>
        <w:tc>
          <w:tcPr>
            <w:tcW w:w="6946" w:type="dxa"/>
            <w:noWrap/>
            <w:vAlign w:val="center"/>
          </w:tcPr>
          <w:p w14:paraId="6BDB4A79"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扩大高水平教育对外开放背景下高校国际化办学绩效评价与优化路径研究</w:t>
            </w:r>
          </w:p>
        </w:tc>
        <w:tc>
          <w:tcPr>
            <w:tcW w:w="992" w:type="dxa"/>
            <w:noWrap/>
            <w:vAlign w:val="center"/>
          </w:tcPr>
          <w:p w14:paraId="56C4FBFE"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朱浩瑾</w:t>
            </w:r>
          </w:p>
        </w:tc>
      </w:tr>
      <w:tr w:rsidR="00475EFC" w14:paraId="36B5753A" w14:textId="77777777">
        <w:trPr>
          <w:trHeight w:val="567"/>
        </w:trPr>
        <w:tc>
          <w:tcPr>
            <w:tcW w:w="710" w:type="dxa"/>
            <w:vAlign w:val="center"/>
          </w:tcPr>
          <w:p w14:paraId="5E38BFB9"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6</w:t>
            </w:r>
          </w:p>
        </w:tc>
        <w:tc>
          <w:tcPr>
            <w:tcW w:w="992" w:type="dxa"/>
            <w:vAlign w:val="center"/>
          </w:tcPr>
          <w:p w14:paraId="42200615"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6196205B"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人工智能赋能高校教育教学改革的实践探索与路径优化研究——以上海交通大学</w:t>
            </w:r>
          </w:p>
        </w:tc>
        <w:tc>
          <w:tcPr>
            <w:tcW w:w="992" w:type="dxa"/>
            <w:noWrap/>
            <w:vAlign w:val="center"/>
          </w:tcPr>
          <w:p w14:paraId="57641CE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朱燕民</w:t>
            </w:r>
          </w:p>
        </w:tc>
      </w:tr>
      <w:tr w:rsidR="00475EFC" w14:paraId="5792BAB5" w14:textId="77777777">
        <w:trPr>
          <w:trHeight w:val="567"/>
        </w:trPr>
        <w:tc>
          <w:tcPr>
            <w:tcW w:w="710" w:type="dxa"/>
            <w:vAlign w:val="center"/>
          </w:tcPr>
          <w:p w14:paraId="6A5F0B75"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7</w:t>
            </w:r>
          </w:p>
        </w:tc>
        <w:tc>
          <w:tcPr>
            <w:tcW w:w="992" w:type="dxa"/>
            <w:vAlign w:val="center"/>
          </w:tcPr>
          <w:p w14:paraId="5B477C1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60707078"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高校交叉学科研究机构设置模式及评价策略研究</w:t>
            </w:r>
          </w:p>
        </w:tc>
        <w:tc>
          <w:tcPr>
            <w:tcW w:w="992" w:type="dxa"/>
            <w:noWrap/>
            <w:vAlign w:val="center"/>
          </w:tcPr>
          <w:p w14:paraId="54979DEF"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张  蕾</w:t>
            </w:r>
          </w:p>
        </w:tc>
      </w:tr>
      <w:tr w:rsidR="00475EFC" w14:paraId="0935B2AC" w14:textId="77777777">
        <w:trPr>
          <w:trHeight w:val="567"/>
        </w:trPr>
        <w:tc>
          <w:tcPr>
            <w:tcW w:w="710" w:type="dxa"/>
            <w:vAlign w:val="center"/>
          </w:tcPr>
          <w:p w14:paraId="3311864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sz w:val="22"/>
              </w:rPr>
              <w:t>8</w:t>
            </w:r>
          </w:p>
        </w:tc>
        <w:tc>
          <w:tcPr>
            <w:tcW w:w="992" w:type="dxa"/>
            <w:vAlign w:val="center"/>
          </w:tcPr>
          <w:p w14:paraId="42590113"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6B8B00FA"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高校交叉学科研究机构跨院系协同机制与评价研究</w:t>
            </w:r>
          </w:p>
        </w:tc>
        <w:tc>
          <w:tcPr>
            <w:tcW w:w="992" w:type="dxa"/>
            <w:noWrap/>
            <w:vAlign w:val="center"/>
          </w:tcPr>
          <w:p w14:paraId="4EB1772C"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王艺霖</w:t>
            </w:r>
          </w:p>
        </w:tc>
      </w:tr>
      <w:tr w:rsidR="00475EFC" w14:paraId="56D0B4F0" w14:textId="77777777">
        <w:trPr>
          <w:trHeight w:val="567"/>
        </w:trPr>
        <w:tc>
          <w:tcPr>
            <w:tcW w:w="710" w:type="dxa"/>
            <w:vAlign w:val="center"/>
          </w:tcPr>
          <w:p w14:paraId="6C14223C"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9</w:t>
            </w:r>
          </w:p>
        </w:tc>
        <w:tc>
          <w:tcPr>
            <w:tcW w:w="992" w:type="dxa"/>
            <w:vAlign w:val="center"/>
          </w:tcPr>
          <w:p w14:paraId="5B724903"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4A67E39D"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学科画像赋能高校学科自评估优化路径与长效机制研究</w:t>
            </w:r>
          </w:p>
        </w:tc>
        <w:tc>
          <w:tcPr>
            <w:tcW w:w="992" w:type="dxa"/>
            <w:noWrap/>
            <w:vAlign w:val="center"/>
          </w:tcPr>
          <w:p w14:paraId="0E93CA9D"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程  然</w:t>
            </w:r>
          </w:p>
        </w:tc>
      </w:tr>
      <w:tr w:rsidR="00475EFC" w14:paraId="45B041C8" w14:textId="77777777">
        <w:trPr>
          <w:trHeight w:val="567"/>
        </w:trPr>
        <w:tc>
          <w:tcPr>
            <w:tcW w:w="710" w:type="dxa"/>
            <w:vAlign w:val="center"/>
          </w:tcPr>
          <w:p w14:paraId="1FBA351B"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sz w:val="22"/>
              </w:rPr>
              <w:t>10</w:t>
            </w:r>
          </w:p>
        </w:tc>
        <w:tc>
          <w:tcPr>
            <w:tcW w:w="992" w:type="dxa"/>
            <w:vAlign w:val="center"/>
          </w:tcPr>
          <w:p w14:paraId="4593FF1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59ADC442"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面向“十五五”世界一流大学建设的国防科研体系建设与优化路径研究</w:t>
            </w:r>
          </w:p>
        </w:tc>
        <w:tc>
          <w:tcPr>
            <w:tcW w:w="992" w:type="dxa"/>
            <w:noWrap/>
            <w:vAlign w:val="center"/>
          </w:tcPr>
          <w:p w14:paraId="7A4F0CF0"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王艳池</w:t>
            </w:r>
          </w:p>
        </w:tc>
      </w:tr>
      <w:tr w:rsidR="00475EFC" w14:paraId="7AEF2D91" w14:textId="77777777">
        <w:trPr>
          <w:trHeight w:val="567"/>
        </w:trPr>
        <w:tc>
          <w:tcPr>
            <w:tcW w:w="710" w:type="dxa"/>
            <w:vAlign w:val="center"/>
          </w:tcPr>
          <w:p w14:paraId="15D87365"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sz w:val="22"/>
              </w:rPr>
              <w:t>11</w:t>
            </w:r>
          </w:p>
        </w:tc>
        <w:tc>
          <w:tcPr>
            <w:tcW w:w="992" w:type="dxa"/>
            <w:vAlign w:val="center"/>
          </w:tcPr>
          <w:p w14:paraId="2BCFA61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58235CE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“双一流”建设背景下“申请-考核”制博士研究生招生选拔机制改革与质量保障体系研究</w:t>
            </w:r>
          </w:p>
        </w:tc>
        <w:tc>
          <w:tcPr>
            <w:tcW w:w="992" w:type="dxa"/>
            <w:noWrap/>
            <w:vAlign w:val="center"/>
          </w:tcPr>
          <w:p w14:paraId="5FAFEB9F"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可尘娟</w:t>
            </w:r>
          </w:p>
        </w:tc>
      </w:tr>
      <w:tr w:rsidR="00475EFC" w14:paraId="5AF356D0" w14:textId="77777777">
        <w:trPr>
          <w:trHeight w:val="567"/>
        </w:trPr>
        <w:tc>
          <w:tcPr>
            <w:tcW w:w="710" w:type="dxa"/>
            <w:vAlign w:val="center"/>
          </w:tcPr>
          <w:p w14:paraId="44B408B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1</w:t>
            </w:r>
            <w:r>
              <w:rPr>
                <w:rFonts w:ascii="仿宋_GB2312" w:eastAsia="仿宋_GB2312" w:hAnsi="仿宋"/>
                <w:sz w:val="22"/>
              </w:rPr>
              <w:t>2</w:t>
            </w:r>
          </w:p>
        </w:tc>
        <w:tc>
          <w:tcPr>
            <w:tcW w:w="992" w:type="dxa"/>
            <w:vAlign w:val="center"/>
          </w:tcPr>
          <w:p w14:paraId="49BF23D4"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44CE6391"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“双一流”建设背景下研究生招生选拔机制改革与质量保障研究</w:t>
            </w:r>
          </w:p>
        </w:tc>
        <w:tc>
          <w:tcPr>
            <w:tcW w:w="992" w:type="dxa"/>
            <w:noWrap/>
            <w:vAlign w:val="center"/>
          </w:tcPr>
          <w:p w14:paraId="3CCE8C90"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黄亚鑫</w:t>
            </w:r>
          </w:p>
        </w:tc>
      </w:tr>
      <w:tr w:rsidR="00475EFC" w14:paraId="54106A4C" w14:textId="77777777">
        <w:trPr>
          <w:trHeight w:val="567"/>
        </w:trPr>
        <w:tc>
          <w:tcPr>
            <w:tcW w:w="710" w:type="dxa"/>
            <w:vAlign w:val="center"/>
          </w:tcPr>
          <w:p w14:paraId="445655FC"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lastRenderedPageBreak/>
              <w:t>13</w:t>
            </w:r>
          </w:p>
        </w:tc>
        <w:tc>
          <w:tcPr>
            <w:tcW w:w="992" w:type="dxa"/>
            <w:vAlign w:val="center"/>
          </w:tcPr>
          <w:p w14:paraId="3F2D7804"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4E6218A1"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数智赋能高校国际招生规模与质量提升的路径研究</w:t>
            </w:r>
          </w:p>
        </w:tc>
        <w:tc>
          <w:tcPr>
            <w:tcW w:w="992" w:type="dxa"/>
            <w:noWrap/>
            <w:vAlign w:val="center"/>
          </w:tcPr>
          <w:p w14:paraId="2457B6E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赵  凤</w:t>
            </w:r>
          </w:p>
        </w:tc>
      </w:tr>
      <w:tr w:rsidR="00475EFC" w14:paraId="62DD7BF2" w14:textId="77777777">
        <w:trPr>
          <w:trHeight w:val="567"/>
        </w:trPr>
        <w:tc>
          <w:tcPr>
            <w:tcW w:w="710" w:type="dxa"/>
            <w:vAlign w:val="center"/>
          </w:tcPr>
          <w:p w14:paraId="14CAD029"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14</w:t>
            </w:r>
          </w:p>
        </w:tc>
        <w:tc>
          <w:tcPr>
            <w:tcW w:w="992" w:type="dxa"/>
            <w:vAlign w:val="center"/>
          </w:tcPr>
          <w:p w14:paraId="43A0739C"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7D8002C8"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工程类博士专业学位研究生实践成果申请学位机制研究</w:t>
            </w:r>
          </w:p>
        </w:tc>
        <w:tc>
          <w:tcPr>
            <w:tcW w:w="992" w:type="dxa"/>
            <w:noWrap/>
            <w:vAlign w:val="center"/>
          </w:tcPr>
          <w:p w14:paraId="32F7AE10"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武  岳</w:t>
            </w:r>
          </w:p>
        </w:tc>
      </w:tr>
      <w:tr w:rsidR="00475EFC" w14:paraId="26D878C1" w14:textId="77777777">
        <w:trPr>
          <w:trHeight w:val="567"/>
        </w:trPr>
        <w:tc>
          <w:tcPr>
            <w:tcW w:w="710" w:type="dxa"/>
            <w:vAlign w:val="center"/>
          </w:tcPr>
          <w:p w14:paraId="65E8CE79"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15</w:t>
            </w:r>
          </w:p>
        </w:tc>
        <w:tc>
          <w:tcPr>
            <w:tcW w:w="992" w:type="dxa"/>
            <w:vAlign w:val="center"/>
          </w:tcPr>
          <w:p w14:paraId="2F45F6D0"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2A1A50E5"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研究生交叉学部实体化运行与资源协同视域下的人才评价机制研究</w:t>
            </w:r>
          </w:p>
        </w:tc>
        <w:tc>
          <w:tcPr>
            <w:tcW w:w="992" w:type="dxa"/>
            <w:noWrap/>
            <w:vAlign w:val="center"/>
          </w:tcPr>
          <w:p w14:paraId="4E9E3808"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余旖旎</w:t>
            </w:r>
          </w:p>
        </w:tc>
      </w:tr>
      <w:tr w:rsidR="00475EFC" w14:paraId="3927515A" w14:textId="77777777">
        <w:trPr>
          <w:trHeight w:val="567"/>
        </w:trPr>
        <w:tc>
          <w:tcPr>
            <w:tcW w:w="710" w:type="dxa"/>
            <w:vAlign w:val="center"/>
          </w:tcPr>
          <w:p w14:paraId="599D428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1</w:t>
            </w:r>
            <w:r>
              <w:rPr>
                <w:rFonts w:ascii="仿宋_GB2312" w:eastAsia="仿宋_GB2312" w:hAnsi="仿宋"/>
                <w:sz w:val="22"/>
              </w:rPr>
              <w:t>6</w:t>
            </w:r>
          </w:p>
        </w:tc>
        <w:tc>
          <w:tcPr>
            <w:tcW w:w="992" w:type="dxa"/>
            <w:vAlign w:val="center"/>
          </w:tcPr>
          <w:p w14:paraId="010E1AA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15211179"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过程管理视角下医学本科生学业成长追踪与干预政策研究</w:t>
            </w:r>
          </w:p>
        </w:tc>
        <w:tc>
          <w:tcPr>
            <w:tcW w:w="992" w:type="dxa"/>
            <w:noWrap/>
            <w:vAlign w:val="center"/>
          </w:tcPr>
          <w:p w14:paraId="30A80728"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唐文静</w:t>
            </w:r>
          </w:p>
        </w:tc>
      </w:tr>
      <w:tr w:rsidR="00475EFC" w14:paraId="17A6B4DB" w14:textId="77777777">
        <w:trPr>
          <w:trHeight w:val="567"/>
        </w:trPr>
        <w:tc>
          <w:tcPr>
            <w:tcW w:w="710" w:type="dxa"/>
            <w:vAlign w:val="center"/>
          </w:tcPr>
          <w:p w14:paraId="3468B44A"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1</w:t>
            </w:r>
            <w:r>
              <w:rPr>
                <w:rFonts w:ascii="仿宋_GB2312" w:eastAsia="仿宋_GB2312" w:hAnsi="仿宋"/>
                <w:sz w:val="22"/>
              </w:rPr>
              <w:t>7</w:t>
            </w:r>
          </w:p>
        </w:tc>
        <w:tc>
          <w:tcPr>
            <w:tcW w:w="992" w:type="dxa"/>
            <w:vAlign w:val="center"/>
          </w:tcPr>
          <w:p w14:paraId="2FD93AB9"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3BAE9BC1"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从“结果评价”到“过程赋能”：数智驱动下拔尖创新人才学业全周期精准画像与干预机制研究</w:t>
            </w:r>
          </w:p>
        </w:tc>
        <w:tc>
          <w:tcPr>
            <w:tcW w:w="992" w:type="dxa"/>
            <w:noWrap/>
            <w:vAlign w:val="center"/>
          </w:tcPr>
          <w:p w14:paraId="349A1F12"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李  芳</w:t>
            </w:r>
          </w:p>
        </w:tc>
      </w:tr>
      <w:tr w:rsidR="00475EFC" w14:paraId="28E112D1" w14:textId="77777777">
        <w:trPr>
          <w:trHeight w:val="567"/>
        </w:trPr>
        <w:tc>
          <w:tcPr>
            <w:tcW w:w="710" w:type="dxa"/>
            <w:vAlign w:val="center"/>
          </w:tcPr>
          <w:p w14:paraId="7174FBB0"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1</w:t>
            </w:r>
            <w:r>
              <w:rPr>
                <w:rFonts w:ascii="仿宋_GB2312" w:eastAsia="仿宋_GB2312" w:hAnsi="仿宋"/>
                <w:sz w:val="22"/>
              </w:rPr>
              <w:t>8</w:t>
            </w:r>
          </w:p>
        </w:tc>
        <w:tc>
          <w:tcPr>
            <w:tcW w:w="992" w:type="dxa"/>
            <w:vAlign w:val="center"/>
          </w:tcPr>
          <w:p w14:paraId="2FE88FBE"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07DF28CB"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过程管理视角下本科生学业发展风险的形成轨迹与关键节点研究</w:t>
            </w:r>
          </w:p>
        </w:tc>
        <w:tc>
          <w:tcPr>
            <w:tcW w:w="992" w:type="dxa"/>
            <w:noWrap/>
            <w:vAlign w:val="center"/>
          </w:tcPr>
          <w:p w14:paraId="172CB323"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安  毅</w:t>
            </w:r>
          </w:p>
        </w:tc>
      </w:tr>
      <w:tr w:rsidR="00475EFC" w14:paraId="758E0571" w14:textId="77777777">
        <w:trPr>
          <w:trHeight w:val="567"/>
        </w:trPr>
        <w:tc>
          <w:tcPr>
            <w:tcW w:w="710" w:type="dxa"/>
            <w:vAlign w:val="center"/>
          </w:tcPr>
          <w:p w14:paraId="5D9BB23E"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19</w:t>
            </w:r>
          </w:p>
        </w:tc>
        <w:tc>
          <w:tcPr>
            <w:tcW w:w="992" w:type="dxa"/>
            <w:vAlign w:val="center"/>
          </w:tcPr>
          <w:p w14:paraId="3911D7F4"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7C9686E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高校课堂教学质量智能辅助评价范式研究</w:t>
            </w:r>
          </w:p>
        </w:tc>
        <w:tc>
          <w:tcPr>
            <w:tcW w:w="992" w:type="dxa"/>
            <w:noWrap/>
            <w:vAlign w:val="center"/>
          </w:tcPr>
          <w:p w14:paraId="35C22EE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居辰阳</w:t>
            </w:r>
          </w:p>
        </w:tc>
      </w:tr>
      <w:tr w:rsidR="00475EFC" w14:paraId="508A2DF1" w14:textId="77777777">
        <w:trPr>
          <w:trHeight w:val="567"/>
        </w:trPr>
        <w:tc>
          <w:tcPr>
            <w:tcW w:w="710" w:type="dxa"/>
            <w:vAlign w:val="center"/>
          </w:tcPr>
          <w:p w14:paraId="6473C2B9"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20</w:t>
            </w:r>
          </w:p>
        </w:tc>
        <w:tc>
          <w:tcPr>
            <w:tcW w:w="992" w:type="dxa"/>
            <w:vAlign w:val="center"/>
          </w:tcPr>
          <w:p w14:paraId="48022B04"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1639234E"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世界一流大学人工智能伦理规范构建模式研究</w:t>
            </w:r>
          </w:p>
        </w:tc>
        <w:tc>
          <w:tcPr>
            <w:tcW w:w="992" w:type="dxa"/>
            <w:noWrap/>
            <w:vAlign w:val="center"/>
          </w:tcPr>
          <w:p w14:paraId="290C1B90"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 xml:space="preserve">朱  </w:t>
            </w:r>
            <w:proofErr w:type="gramStart"/>
            <w:r>
              <w:rPr>
                <w:rFonts w:ascii="仿宋_GB2312" w:eastAsia="仿宋_GB2312" w:hAnsi="仿宋" w:hint="eastAsia"/>
                <w:sz w:val="22"/>
              </w:rPr>
              <w:t>姝</w:t>
            </w:r>
            <w:proofErr w:type="gramEnd"/>
          </w:p>
        </w:tc>
      </w:tr>
      <w:tr w:rsidR="00475EFC" w14:paraId="00AA281B" w14:textId="77777777">
        <w:trPr>
          <w:trHeight w:val="567"/>
        </w:trPr>
        <w:tc>
          <w:tcPr>
            <w:tcW w:w="710" w:type="dxa"/>
            <w:vAlign w:val="center"/>
          </w:tcPr>
          <w:p w14:paraId="60114D1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21</w:t>
            </w:r>
          </w:p>
        </w:tc>
        <w:tc>
          <w:tcPr>
            <w:tcW w:w="992" w:type="dxa"/>
            <w:vAlign w:val="center"/>
          </w:tcPr>
          <w:p w14:paraId="12C763B2"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06484C34"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AI时代中外医学生人工智能认知与伦理规范构建研究</w:t>
            </w:r>
          </w:p>
        </w:tc>
        <w:tc>
          <w:tcPr>
            <w:tcW w:w="992" w:type="dxa"/>
            <w:noWrap/>
            <w:vAlign w:val="center"/>
          </w:tcPr>
          <w:p w14:paraId="1EA024A2"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李奕桢</w:t>
            </w:r>
          </w:p>
        </w:tc>
      </w:tr>
      <w:tr w:rsidR="00475EFC" w14:paraId="570CBEBD" w14:textId="77777777">
        <w:trPr>
          <w:trHeight w:val="567"/>
        </w:trPr>
        <w:tc>
          <w:tcPr>
            <w:tcW w:w="710" w:type="dxa"/>
            <w:vAlign w:val="center"/>
          </w:tcPr>
          <w:p w14:paraId="1AD151B4"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22</w:t>
            </w:r>
          </w:p>
        </w:tc>
        <w:tc>
          <w:tcPr>
            <w:tcW w:w="992" w:type="dxa"/>
            <w:vAlign w:val="center"/>
          </w:tcPr>
          <w:p w14:paraId="6B381B3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6278F47E"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高校数字化教材建设模式探索与成效评估研究</w:t>
            </w:r>
          </w:p>
        </w:tc>
        <w:tc>
          <w:tcPr>
            <w:tcW w:w="992" w:type="dxa"/>
            <w:noWrap/>
            <w:vAlign w:val="center"/>
          </w:tcPr>
          <w:p w14:paraId="55487065"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栾文杰</w:t>
            </w:r>
          </w:p>
        </w:tc>
      </w:tr>
      <w:tr w:rsidR="00475EFC" w14:paraId="484D112D" w14:textId="77777777">
        <w:trPr>
          <w:trHeight w:val="567"/>
        </w:trPr>
        <w:tc>
          <w:tcPr>
            <w:tcW w:w="710" w:type="dxa"/>
            <w:vAlign w:val="center"/>
          </w:tcPr>
          <w:p w14:paraId="1EFE2FA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23</w:t>
            </w:r>
          </w:p>
        </w:tc>
        <w:tc>
          <w:tcPr>
            <w:tcW w:w="992" w:type="dxa"/>
            <w:vAlign w:val="center"/>
          </w:tcPr>
          <w:p w14:paraId="1876EF1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25BEFB88"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产教融合背景下高校微专业的开发模式与运营机制研究</w:t>
            </w:r>
          </w:p>
        </w:tc>
        <w:tc>
          <w:tcPr>
            <w:tcW w:w="992" w:type="dxa"/>
            <w:noWrap/>
            <w:vAlign w:val="center"/>
          </w:tcPr>
          <w:p w14:paraId="2AC4506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彭术连</w:t>
            </w:r>
          </w:p>
        </w:tc>
      </w:tr>
      <w:tr w:rsidR="00475EFC" w14:paraId="7718A32F" w14:textId="77777777">
        <w:trPr>
          <w:trHeight w:val="567"/>
        </w:trPr>
        <w:tc>
          <w:tcPr>
            <w:tcW w:w="710" w:type="dxa"/>
            <w:vAlign w:val="center"/>
          </w:tcPr>
          <w:p w14:paraId="4F98C70F"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24</w:t>
            </w:r>
          </w:p>
        </w:tc>
        <w:tc>
          <w:tcPr>
            <w:tcW w:w="992" w:type="dxa"/>
            <w:vAlign w:val="center"/>
          </w:tcPr>
          <w:p w14:paraId="331970E1"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720C26D3"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支撑世界一流大学建设的杰出科技人才画像构建框架研究</w:t>
            </w:r>
          </w:p>
        </w:tc>
        <w:tc>
          <w:tcPr>
            <w:tcW w:w="992" w:type="dxa"/>
            <w:noWrap/>
            <w:vAlign w:val="center"/>
          </w:tcPr>
          <w:p w14:paraId="573A6A9B"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马喜芳</w:t>
            </w:r>
          </w:p>
        </w:tc>
      </w:tr>
      <w:tr w:rsidR="00475EFC" w14:paraId="16B857E8" w14:textId="77777777">
        <w:trPr>
          <w:trHeight w:val="567"/>
        </w:trPr>
        <w:tc>
          <w:tcPr>
            <w:tcW w:w="710" w:type="dxa"/>
            <w:vAlign w:val="center"/>
          </w:tcPr>
          <w:p w14:paraId="07392AFA"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25</w:t>
            </w:r>
          </w:p>
        </w:tc>
        <w:tc>
          <w:tcPr>
            <w:tcW w:w="992" w:type="dxa"/>
            <w:vAlign w:val="center"/>
          </w:tcPr>
          <w:p w14:paraId="373277B0"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26265DA0"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人工智能赋能高校科研范式改革的组织机制比较与实施路径研究</w:t>
            </w:r>
          </w:p>
        </w:tc>
        <w:tc>
          <w:tcPr>
            <w:tcW w:w="992" w:type="dxa"/>
            <w:noWrap/>
            <w:vAlign w:val="center"/>
          </w:tcPr>
          <w:p w14:paraId="28E28FEE"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于依琼</w:t>
            </w:r>
          </w:p>
        </w:tc>
      </w:tr>
      <w:tr w:rsidR="00475EFC" w14:paraId="01B5717F" w14:textId="77777777">
        <w:trPr>
          <w:trHeight w:val="567"/>
        </w:trPr>
        <w:tc>
          <w:tcPr>
            <w:tcW w:w="710" w:type="dxa"/>
            <w:vAlign w:val="center"/>
          </w:tcPr>
          <w:p w14:paraId="39112CD5"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26</w:t>
            </w:r>
          </w:p>
        </w:tc>
        <w:tc>
          <w:tcPr>
            <w:tcW w:w="992" w:type="dxa"/>
            <w:vAlign w:val="center"/>
          </w:tcPr>
          <w:p w14:paraId="62F1C124"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6F8B7324"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人工智能赋能高校科研范式改革的机制与路径研究——以国家大科学设施平台建设管理为视角</w:t>
            </w:r>
          </w:p>
        </w:tc>
        <w:tc>
          <w:tcPr>
            <w:tcW w:w="992" w:type="dxa"/>
            <w:noWrap/>
            <w:vAlign w:val="center"/>
          </w:tcPr>
          <w:p w14:paraId="53CD2FF3"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冯兆莹</w:t>
            </w:r>
          </w:p>
        </w:tc>
      </w:tr>
      <w:tr w:rsidR="00475EFC" w14:paraId="3DA89F47" w14:textId="77777777">
        <w:trPr>
          <w:trHeight w:val="567"/>
        </w:trPr>
        <w:tc>
          <w:tcPr>
            <w:tcW w:w="710" w:type="dxa"/>
            <w:vAlign w:val="center"/>
          </w:tcPr>
          <w:p w14:paraId="28CFBE0D"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27</w:t>
            </w:r>
          </w:p>
        </w:tc>
        <w:tc>
          <w:tcPr>
            <w:tcW w:w="992" w:type="dxa"/>
            <w:vAlign w:val="center"/>
          </w:tcPr>
          <w:p w14:paraId="44BAB2F2"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496FBD90"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医工交叉领域科技创新与产业创新融合发展的机制研究</w:t>
            </w:r>
          </w:p>
        </w:tc>
        <w:tc>
          <w:tcPr>
            <w:tcW w:w="992" w:type="dxa"/>
            <w:noWrap/>
            <w:vAlign w:val="center"/>
          </w:tcPr>
          <w:p w14:paraId="5EC81A5F"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韦建和</w:t>
            </w:r>
          </w:p>
        </w:tc>
      </w:tr>
      <w:tr w:rsidR="00475EFC" w14:paraId="47F20170" w14:textId="77777777">
        <w:trPr>
          <w:trHeight w:val="567"/>
        </w:trPr>
        <w:tc>
          <w:tcPr>
            <w:tcW w:w="710" w:type="dxa"/>
            <w:vAlign w:val="center"/>
          </w:tcPr>
          <w:p w14:paraId="08F34ECC"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28</w:t>
            </w:r>
          </w:p>
        </w:tc>
        <w:tc>
          <w:tcPr>
            <w:tcW w:w="992" w:type="dxa"/>
            <w:vAlign w:val="center"/>
          </w:tcPr>
          <w:p w14:paraId="7922A014"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40641368"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医工交叉领域科技创新与产业创新融合发展的机制研究</w:t>
            </w:r>
          </w:p>
        </w:tc>
        <w:tc>
          <w:tcPr>
            <w:tcW w:w="992" w:type="dxa"/>
            <w:noWrap/>
            <w:vAlign w:val="center"/>
          </w:tcPr>
          <w:p w14:paraId="5A49453C"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周  军</w:t>
            </w:r>
          </w:p>
        </w:tc>
      </w:tr>
      <w:tr w:rsidR="00475EFC" w14:paraId="3D2A89F0" w14:textId="77777777">
        <w:trPr>
          <w:trHeight w:val="567"/>
        </w:trPr>
        <w:tc>
          <w:tcPr>
            <w:tcW w:w="710" w:type="dxa"/>
            <w:vAlign w:val="center"/>
          </w:tcPr>
          <w:p w14:paraId="2A2DFC15"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29</w:t>
            </w:r>
          </w:p>
        </w:tc>
        <w:tc>
          <w:tcPr>
            <w:tcW w:w="992" w:type="dxa"/>
            <w:vAlign w:val="center"/>
          </w:tcPr>
          <w:p w14:paraId="412C75AA"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61AAD1E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创新型学院支撑产学研深度融合发展的生态研究——以机械与动力工程学院为例</w:t>
            </w:r>
          </w:p>
        </w:tc>
        <w:tc>
          <w:tcPr>
            <w:tcW w:w="992" w:type="dxa"/>
            <w:noWrap/>
            <w:vAlign w:val="center"/>
          </w:tcPr>
          <w:p w14:paraId="714347E8"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刘孟奇</w:t>
            </w:r>
          </w:p>
        </w:tc>
      </w:tr>
      <w:tr w:rsidR="00475EFC" w14:paraId="5A7B5B18" w14:textId="77777777">
        <w:trPr>
          <w:trHeight w:val="567"/>
        </w:trPr>
        <w:tc>
          <w:tcPr>
            <w:tcW w:w="710" w:type="dxa"/>
            <w:vAlign w:val="center"/>
          </w:tcPr>
          <w:p w14:paraId="23FAA35E"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30</w:t>
            </w:r>
          </w:p>
        </w:tc>
        <w:tc>
          <w:tcPr>
            <w:tcW w:w="992" w:type="dxa"/>
            <w:vAlign w:val="center"/>
          </w:tcPr>
          <w:p w14:paraId="615A0531"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558623E8"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创新型学院支撑产学研深度融合发展的生态研究</w:t>
            </w:r>
          </w:p>
        </w:tc>
        <w:tc>
          <w:tcPr>
            <w:tcW w:w="992" w:type="dxa"/>
            <w:noWrap/>
            <w:vAlign w:val="center"/>
          </w:tcPr>
          <w:p w14:paraId="161C65D5"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吕凤琳</w:t>
            </w:r>
          </w:p>
        </w:tc>
      </w:tr>
      <w:tr w:rsidR="00475EFC" w14:paraId="7DEEEACA" w14:textId="77777777">
        <w:trPr>
          <w:trHeight w:val="567"/>
        </w:trPr>
        <w:tc>
          <w:tcPr>
            <w:tcW w:w="710" w:type="dxa"/>
            <w:vAlign w:val="center"/>
          </w:tcPr>
          <w:p w14:paraId="496282D5"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31</w:t>
            </w:r>
          </w:p>
        </w:tc>
        <w:tc>
          <w:tcPr>
            <w:tcW w:w="992" w:type="dxa"/>
            <w:vAlign w:val="center"/>
          </w:tcPr>
          <w:p w14:paraId="6341FA6C"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7530E14A"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校企共建高校新型智库的运行机制与实现路径研究</w:t>
            </w:r>
          </w:p>
        </w:tc>
        <w:tc>
          <w:tcPr>
            <w:tcW w:w="992" w:type="dxa"/>
            <w:noWrap/>
            <w:vAlign w:val="center"/>
          </w:tcPr>
          <w:p w14:paraId="6F3FCED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梁  爽</w:t>
            </w:r>
          </w:p>
        </w:tc>
      </w:tr>
      <w:tr w:rsidR="00475EFC" w14:paraId="47757E0F" w14:textId="77777777">
        <w:trPr>
          <w:trHeight w:val="567"/>
        </w:trPr>
        <w:tc>
          <w:tcPr>
            <w:tcW w:w="710" w:type="dxa"/>
            <w:vAlign w:val="center"/>
          </w:tcPr>
          <w:p w14:paraId="51B23BBF"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32</w:t>
            </w:r>
          </w:p>
        </w:tc>
        <w:tc>
          <w:tcPr>
            <w:tcW w:w="992" w:type="dxa"/>
            <w:vAlign w:val="center"/>
          </w:tcPr>
          <w:p w14:paraId="3DAAEBAC"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612004CB"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校企共建高校新型智库的运行机制与实现路径研究</w:t>
            </w:r>
          </w:p>
        </w:tc>
        <w:tc>
          <w:tcPr>
            <w:tcW w:w="992" w:type="dxa"/>
            <w:noWrap/>
            <w:vAlign w:val="center"/>
          </w:tcPr>
          <w:p w14:paraId="2464BB63"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李文凯</w:t>
            </w:r>
          </w:p>
        </w:tc>
      </w:tr>
      <w:tr w:rsidR="00475EFC" w14:paraId="0F0C47C1" w14:textId="77777777">
        <w:trPr>
          <w:trHeight w:val="567"/>
        </w:trPr>
        <w:tc>
          <w:tcPr>
            <w:tcW w:w="710" w:type="dxa"/>
            <w:vAlign w:val="center"/>
          </w:tcPr>
          <w:p w14:paraId="0171EF0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33</w:t>
            </w:r>
          </w:p>
        </w:tc>
        <w:tc>
          <w:tcPr>
            <w:tcW w:w="992" w:type="dxa"/>
            <w:vAlign w:val="center"/>
          </w:tcPr>
          <w:p w14:paraId="0AEB906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0A0F5D05"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“十五五”时期学校岗位规划动态调整机制研究</w:t>
            </w:r>
          </w:p>
        </w:tc>
        <w:tc>
          <w:tcPr>
            <w:tcW w:w="992" w:type="dxa"/>
            <w:noWrap/>
            <w:vAlign w:val="center"/>
          </w:tcPr>
          <w:p w14:paraId="0A703E22"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黄澍玥</w:t>
            </w:r>
          </w:p>
        </w:tc>
      </w:tr>
      <w:tr w:rsidR="00475EFC" w14:paraId="775C81EF" w14:textId="77777777">
        <w:trPr>
          <w:trHeight w:val="491"/>
        </w:trPr>
        <w:tc>
          <w:tcPr>
            <w:tcW w:w="710" w:type="dxa"/>
            <w:vAlign w:val="center"/>
          </w:tcPr>
          <w:p w14:paraId="65296514"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34</w:t>
            </w:r>
          </w:p>
        </w:tc>
        <w:tc>
          <w:tcPr>
            <w:tcW w:w="992" w:type="dxa"/>
            <w:vAlign w:val="center"/>
          </w:tcPr>
          <w:p w14:paraId="0017AE09"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277C5182"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高水平创新型人才引进和培育体制机制研究</w:t>
            </w:r>
          </w:p>
        </w:tc>
        <w:tc>
          <w:tcPr>
            <w:tcW w:w="992" w:type="dxa"/>
            <w:noWrap/>
            <w:vAlign w:val="center"/>
          </w:tcPr>
          <w:p w14:paraId="674FB195"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许敬一</w:t>
            </w:r>
          </w:p>
        </w:tc>
      </w:tr>
      <w:tr w:rsidR="00475EFC" w14:paraId="25504AD8" w14:textId="77777777">
        <w:trPr>
          <w:trHeight w:val="540"/>
        </w:trPr>
        <w:tc>
          <w:tcPr>
            <w:tcW w:w="710" w:type="dxa"/>
            <w:vAlign w:val="center"/>
          </w:tcPr>
          <w:p w14:paraId="32F1A1BD"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35</w:t>
            </w:r>
          </w:p>
        </w:tc>
        <w:tc>
          <w:tcPr>
            <w:tcW w:w="992" w:type="dxa"/>
            <w:vAlign w:val="center"/>
          </w:tcPr>
          <w:p w14:paraId="7AD6A97F"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1831652D"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高校人文社科青年教师科研能力提升路径研究</w:t>
            </w:r>
          </w:p>
        </w:tc>
        <w:tc>
          <w:tcPr>
            <w:tcW w:w="992" w:type="dxa"/>
            <w:noWrap/>
            <w:vAlign w:val="center"/>
          </w:tcPr>
          <w:p w14:paraId="3A03228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沈崴奕</w:t>
            </w:r>
          </w:p>
        </w:tc>
      </w:tr>
      <w:tr w:rsidR="00475EFC" w14:paraId="31BBBE1B" w14:textId="77777777">
        <w:trPr>
          <w:trHeight w:val="540"/>
        </w:trPr>
        <w:tc>
          <w:tcPr>
            <w:tcW w:w="710" w:type="dxa"/>
            <w:vAlign w:val="center"/>
          </w:tcPr>
          <w:p w14:paraId="145403FB"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36</w:t>
            </w:r>
          </w:p>
        </w:tc>
        <w:tc>
          <w:tcPr>
            <w:tcW w:w="992" w:type="dxa"/>
            <w:vAlign w:val="center"/>
          </w:tcPr>
          <w:p w14:paraId="762980E8"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3143447C"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高校工程博士后流动站建设的实践路径研究</w:t>
            </w:r>
          </w:p>
        </w:tc>
        <w:tc>
          <w:tcPr>
            <w:tcW w:w="992" w:type="dxa"/>
            <w:noWrap/>
            <w:vAlign w:val="center"/>
          </w:tcPr>
          <w:p w14:paraId="7CA71ACA"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 xml:space="preserve">刘  </w:t>
            </w:r>
            <w:proofErr w:type="gramStart"/>
            <w:r>
              <w:rPr>
                <w:rFonts w:ascii="仿宋_GB2312" w:eastAsia="仿宋_GB2312" w:hAnsi="仿宋" w:hint="eastAsia"/>
                <w:sz w:val="22"/>
              </w:rPr>
              <w:t>婷</w:t>
            </w:r>
            <w:proofErr w:type="gramEnd"/>
          </w:p>
        </w:tc>
      </w:tr>
      <w:tr w:rsidR="00475EFC" w14:paraId="48ED7E78" w14:textId="77777777">
        <w:trPr>
          <w:trHeight w:val="524"/>
        </w:trPr>
        <w:tc>
          <w:tcPr>
            <w:tcW w:w="710" w:type="dxa"/>
            <w:vAlign w:val="center"/>
          </w:tcPr>
          <w:p w14:paraId="0A78DC11"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lastRenderedPageBreak/>
              <w:t>37</w:t>
            </w:r>
          </w:p>
        </w:tc>
        <w:tc>
          <w:tcPr>
            <w:tcW w:w="992" w:type="dxa"/>
            <w:vAlign w:val="center"/>
          </w:tcPr>
          <w:p w14:paraId="599F2BE0"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4A6316F4"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高校银发人才资源体系建设及优化研究</w:t>
            </w:r>
          </w:p>
        </w:tc>
        <w:tc>
          <w:tcPr>
            <w:tcW w:w="992" w:type="dxa"/>
            <w:noWrap/>
            <w:vAlign w:val="center"/>
          </w:tcPr>
          <w:p w14:paraId="56745BAA"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张  洋</w:t>
            </w:r>
          </w:p>
        </w:tc>
      </w:tr>
      <w:tr w:rsidR="00475EFC" w14:paraId="471FD1EC" w14:textId="77777777">
        <w:trPr>
          <w:trHeight w:val="523"/>
        </w:trPr>
        <w:tc>
          <w:tcPr>
            <w:tcW w:w="710" w:type="dxa"/>
            <w:vAlign w:val="center"/>
          </w:tcPr>
          <w:p w14:paraId="5A19A925"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38</w:t>
            </w:r>
          </w:p>
        </w:tc>
        <w:tc>
          <w:tcPr>
            <w:tcW w:w="992" w:type="dxa"/>
            <w:vAlign w:val="center"/>
          </w:tcPr>
          <w:p w14:paraId="257ACB55"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72D73C04"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校区、园区、城区“三区”融合推动中外合作办学提质增效的策略研究</w:t>
            </w:r>
          </w:p>
        </w:tc>
        <w:tc>
          <w:tcPr>
            <w:tcW w:w="992" w:type="dxa"/>
            <w:noWrap/>
            <w:vAlign w:val="center"/>
          </w:tcPr>
          <w:p w14:paraId="462651E0"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李亭松</w:t>
            </w:r>
          </w:p>
        </w:tc>
      </w:tr>
      <w:tr w:rsidR="00475EFC" w14:paraId="43738FC8" w14:textId="77777777">
        <w:trPr>
          <w:trHeight w:val="567"/>
        </w:trPr>
        <w:tc>
          <w:tcPr>
            <w:tcW w:w="710" w:type="dxa"/>
            <w:vAlign w:val="center"/>
          </w:tcPr>
          <w:p w14:paraId="2AC51284"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39</w:t>
            </w:r>
          </w:p>
        </w:tc>
        <w:tc>
          <w:tcPr>
            <w:tcW w:w="992" w:type="dxa"/>
            <w:vAlign w:val="center"/>
          </w:tcPr>
          <w:p w14:paraId="65642C3D"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4F021BA4"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“跨境学术特区”的建设逻辑与治理路径：上海交通大学香港高等研究院机制与发展研究</w:t>
            </w:r>
          </w:p>
        </w:tc>
        <w:tc>
          <w:tcPr>
            <w:tcW w:w="992" w:type="dxa"/>
            <w:noWrap/>
            <w:vAlign w:val="center"/>
          </w:tcPr>
          <w:p w14:paraId="1EEB499B"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王  冲</w:t>
            </w:r>
          </w:p>
        </w:tc>
      </w:tr>
      <w:tr w:rsidR="00475EFC" w14:paraId="17BDF9E2" w14:textId="77777777">
        <w:trPr>
          <w:trHeight w:val="567"/>
        </w:trPr>
        <w:tc>
          <w:tcPr>
            <w:tcW w:w="710" w:type="dxa"/>
            <w:vAlign w:val="center"/>
          </w:tcPr>
          <w:p w14:paraId="435FC8A4"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40</w:t>
            </w:r>
          </w:p>
        </w:tc>
        <w:tc>
          <w:tcPr>
            <w:tcW w:w="992" w:type="dxa"/>
            <w:vAlign w:val="center"/>
          </w:tcPr>
          <w:p w14:paraId="4CA12560"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5D23BFFF"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深化高校资源配置改革的路径研究</w:t>
            </w:r>
          </w:p>
        </w:tc>
        <w:tc>
          <w:tcPr>
            <w:tcW w:w="992" w:type="dxa"/>
            <w:noWrap/>
            <w:vAlign w:val="center"/>
          </w:tcPr>
          <w:p w14:paraId="3F897799"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祁麟善</w:t>
            </w:r>
          </w:p>
        </w:tc>
      </w:tr>
      <w:tr w:rsidR="00475EFC" w14:paraId="2430218C" w14:textId="77777777">
        <w:trPr>
          <w:trHeight w:val="567"/>
        </w:trPr>
        <w:tc>
          <w:tcPr>
            <w:tcW w:w="710" w:type="dxa"/>
            <w:vAlign w:val="center"/>
          </w:tcPr>
          <w:p w14:paraId="6E2809A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41</w:t>
            </w:r>
          </w:p>
        </w:tc>
        <w:tc>
          <w:tcPr>
            <w:tcW w:w="992" w:type="dxa"/>
            <w:vAlign w:val="center"/>
          </w:tcPr>
          <w:p w14:paraId="11070823"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55CFF0AB"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数字治理背景下财务决策分析赋能校院高质量发展路径研究——基于高校财务决策分析平台视角</w:t>
            </w:r>
          </w:p>
        </w:tc>
        <w:tc>
          <w:tcPr>
            <w:tcW w:w="992" w:type="dxa"/>
            <w:noWrap/>
            <w:vAlign w:val="center"/>
          </w:tcPr>
          <w:p w14:paraId="2550B4AD"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火晓申</w:t>
            </w:r>
          </w:p>
        </w:tc>
      </w:tr>
      <w:tr w:rsidR="00475EFC" w14:paraId="7030D75B" w14:textId="77777777">
        <w:trPr>
          <w:trHeight w:val="567"/>
        </w:trPr>
        <w:tc>
          <w:tcPr>
            <w:tcW w:w="710" w:type="dxa"/>
            <w:vAlign w:val="center"/>
          </w:tcPr>
          <w:p w14:paraId="6583C363"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42</w:t>
            </w:r>
          </w:p>
        </w:tc>
        <w:tc>
          <w:tcPr>
            <w:tcW w:w="992" w:type="dxa"/>
            <w:vAlign w:val="center"/>
          </w:tcPr>
          <w:p w14:paraId="0AEB8A6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0929584E"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零基预算导向下高校预算绩效评价策略与实施路径研究</w:t>
            </w:r>
          </w:p>
        </w:tc>
        <w:tc>
          <w:tcPr>
            <w:tcW w:w="992" w:type="dxa"/>
            <w:noWrap/>
            <w:vAlign w:val="center"/>
          </w:tcPr>
          <w:p w14:paraId="122D555F"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刘晓涵</w:t>
            </w:r>
          </w:p>
        </w:tc>
      </w:tr>
      <w:tr w:rsidR="00475EFC" w14:paraId="6A438237" w14:textId="77777777">
        <w:trPr>
          <w:trHeight w:val="567"/>
        </w:trPr>
        <w:tc>
          <w:tcPr>
            <w:tcW w:w="710" w:type="dxa"/>
            <w:vAlign w:val="center"/>
          </w:tcPr>
          <w:p w14:paraId="1CC2A09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43</w:t>
            </w:r>
          </w:p>
        </w:tc>
        <w:tc>
          <w:tcPr>
            <w:tcW w:w="992" w:type="dxa"/>
            <w:vAlign w:val="center"/>
          </w:tcPr>
          <w:p w14:paraId="7197954C"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5F4779A5"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数智赋能背景下的校院两级财会队伍转型发展研究</w:t>
            </w:r>
          </w:p>
        </w:tc>
        <w:tc>
          <w:tcPr>
            <w:tcW w:w="992" w:type="dxa"/>
            <w:noWrap/>
            <w:vAlign w:val="center"/>
          </w:tcPr>
          <w:p w14:paraId="5412A4A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 xml:space="preserve">林  </w:t>
            </w:r>
            <w:proofErr w:type="gramStart"/>
            <w:r>
              <w:rPr>
                <w:rFonts w:ascii="仿宋_GB2312" w:eastAsia="仿宋_GB2312" w:hAnsi="仿宋" w:hint="eastAsia"/>
                <w:sz w:val="22"/>
              </w:rPr>
              <w:t>祯</w:t>
            </w:r>
            <w:proofErr w:type="gramEnd"/>
          </w:p>
        </w:tc>
      </w:tr>
      <w:tr w:rsidR="00475EFC" w14:paraId="3AD41D3C" w14:textId="77777777">
        <w:trPr>
          <w:trHeight w:val="567"/>
        </w:trPr>
        <w:tc>
          <w:tcPr>
            <w:tcW w:w="710" w:type="dxa"/>
            <w:vAlign w:val="center"/>
          </w:tcPr>
          <w:p w14:paraId="3AE7793B"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44</w:t>
            </w:r>
          </w:p>
        </w:tc>
        <w:tc>
          <w:tcPr>
            <w:tcW w:w="992" w:type="dxa"/>
            <w:vAlign w:val="center"/>
          </w:tcPr>
          <w:p w14:paraId="5D22B2EF"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17376740"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助教赋能专业课程质量提升及长效管理机制研究</w:t>
            </w:r>
          </w:p>
        </w:tc>
        <w:tc>
          <w:tcPr>
            <w:tcW w:w="992" w:type="dxa"/>
            <w:noWrap/>
            <w:vAlign w:val="center"/>
          </w:tcPr>
          <w:p w14:paraId="4380AF5B"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张  婳</w:t>
            </w:r>
          </w:p>
        </w:tc>
      </w:tr>
      <w:tr w:rsidR="00475EFC" w14:paraId="0910842D" w14:textId="77777777">
        <w:trPr>
          <w:trHeight w:val="567"/>
        </w:trPr>
        <w:tc>
          <w:tcPr>
            <w:tcW w:w="710" w:type="dxa"/>
            <w:vAlign w:val="center"/>
          </w:tcPr>
          <w:p w14:paraId="76726534"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45</w:t>
            </w:r>
          </w:p>
        </w:tc>
        <w:tc>
          <w:tcPr>
            <w:tcW w:w="992" w:type="dxa"/>
            <w:vAlign w:val="center"/>
          </w:tcPr>
          <w:p w14:paraId="1DA17700"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565EFF42"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科技成果转化中高校国有权益长效增值机制创新研究——以上海交通大学国家大学科技园与“大零号湾”协同实践为例</w:t>
            </w:r>
          </w:p>
        </w:tc>
        <w:tc>
          <w:tcPr>
            <w:tcW w:w="992" w:type="dxa"/>
            <w:noWrap/>
            <w:vAlign w:val="center"/>
          </w:tcPr>
          <w:p w14:paraId="1573730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程睿杰</w:t>
            </w:r>
          </w:p>
        </w:tc>
      </w:tr>
      <w:tr w:rsidR="00475EFC" w14:paraId="3008B244" w14:textId="77777777">
        <w:trPr>
          <w:trHeight w:val="567"/>
        </w:trPr>
        <w:tc>
          <w:tcPr>
            <w:tcW w:w="710" w:type="dxa"/>
            <w:vAlign w:val="center"/>
          </w:tcPr>
          <w:p w14:paraId="59AB616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46</w:t>
            </w:r>
          </w:p>
        </w:tc>
        <w:tc>
          <w:tcPr>
            <w:tcW w:w="992" w:type="dxa"/>
            <w:vAlign w:val="center"/>
          </w:tcPr>
          <w:p w14:paraId="1EC488F5"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74C6DEFD"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上海交通大学医工交叉期刊集群协同发展的问题诊断与优化策略研究 ——以上海交通大学医工交叉期刊联盟为例</w:t>
            </w:r>
          </w:p>
        </w:tc>
        <w:tc>
          <w:tcPr>
            <w:tcW w:w="992" w:type="dxa"/>
            <w:noWrap/>
            <w:vAlign w:val="center"/>
          </w:tcPr>
          <w:p w14:paraId="0C6594C3"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 xml:space="preserve">库  </w:t>
            </w:r>
            <w:proofErr w:type="gramStart"/>
            <w:r>
              <w:rPr>
                <w:rFonts w:ascii="仿宋_GB2312" w:eastAsia="仿宋_GB2312" w:hAnsi="仿宋" w:hint="eastAsia"/>
                <w:sz w:val="22"/>
              </w:rPr>
              <w:t>鑫</w:t>
            </w:r>
            <w:proofErr w:type="gramEnd"/>
          </w:p>
        </w:tc>
      </w:tr>
      <w:tr w:rsidR="00475EFC" w14:paraId="7953778F" w14:textId="77777777">
        <w:trPr>
          <w:trHeight w:val="567"/>
        </w:trPr>
        <w:tc>
          <w:tcPr>
            <w:tcW w:w="710" w:type="dxa"/>
            <w:vAlign w:val="center"/>
          </w:tcPr>
          <w:p w14:paraId="58ABA1BC"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47</w:t>
            </w:r>
          </w:p>
        </w:tc>
        <w:tc>
          <w:tcPr>
            <w:tcW w:w="992" w:type="dxa"/>
            <w:vAlign w:val="center"/>
          </w:tcPr>
          <w:p w14:paraId="4B688AA1"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049B1A75"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教育数据治理体系构建与数据驱动决策实证研究</w:t>
            </w:r>
          </w:p>
        </w:tc>
        <w:tc>
          <w:tcPr>
            <w:tcW w:w="992" w:type="dxa"/>
            <w:noWrap/>
            <w:vAlign w:val="center"/>
          </w:tcPr>
          <w:p w14:paraId="4D52B76C"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宋燕妮</w:t>
            </w:r>
          </w:p>
        </w:tc>
      </w:tr>
      <w:tr w:rsidR="00475EFC" w14:paraId="652BD96B" w14:textId="77777777">
        <w:trPr>
          <w:trHeight w:val="481"/>
        </w:trPr>
        <w:tc>
          <w:tcPr>
            <w:tcW w:w="710" w:type="dxa"/>
            <w:vAlign w:val="center"/>
          </w:tcPr>
          <w:p w14:paraId="121E942D"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48</w:t>
            </w:r>
          </w:p>
        </w:tc>
        <w:tc>
          <w:tcPr>
            <w:tcW w:w="992" w:type="dxa"/>
            <w:vAlign w:val="center"/>
          </w:tcPr>
          <w:p w14:paraId="3A273320"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0CE135FC"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数智融合战略下高校知识资源人智协同推荐机制与平台构建研究</w:t>
            </w:r>
          </w:p>
        </w:tc>
        <w:tc>
          <w:tcPr>
            <w:tcW w:w="992" w:type="dxa"/>
            <w:noWrap/>
            <w:vAlign w:val="center"/>
          </w:tcPr>
          <w:p w14:paraId="36E0B27B"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马  灵</w:t>
            </w:r>
          </w:p>
        </w:tc>
      </w:tr>
      <w:tr w:rsidR="00475EFC" w14:paraId="6C6B3545" w14:textId="77777777">
        <w:trPr>
          <w:trHeight w:val="490"/>
        </w:trPr>
        <w:tc>
          <w:tcPr>
            <w:tcW w:w="710" w:type="dxa"/>
            <w:vAlign w:val="center"/>
          </w:tcPr>
          <w:p w14:paraId="5E40DBAD"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49</w:t>
            </w:r>
          </w:p>
        </w:tc>
        <w:tc>
          <w:tcPr>
            <w:tcW w:w="992" w:type="dxa"/>
            <w:vAlign w:val="center"/>
          </w:tcPr>
          <w:p w14:paraId="793854B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0116B44B"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高校多源学术成果数据标准化建设与跨平台协同机制研究——以学生学术成果为例</w:t>
            </w:r>
          </w:p>
        </w:tc>
        <w:tc>
          <w:tcPr>
            <w:tcW w:w="992" w:type="dxa"/>
            <w:noWrap/>
            <w:vAlign w:val="center"/>
          </w:tcPr>
          <w:p w14:paraId="5F0F638E"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崔景娜</w:t>
            </w:r>
          </w:p>
        </w:tc>
      </w:tr>
      <w:tr w:rsidR="00475EFC" w14:paraId="0172F45B" w14:textId="77777777">
        <w:trPr>
          <w:trHeight w:val="567"/>
        </w:trPr>
        <w:tc>
          <w:tcPr>
            <w:tcW w:w="710" w:type="dxa"/>
            <w:vAlign w:val="center"/>
          </w:tcPr>
          <w:p w14:paraId="67E798F1"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50</w:t>
            </w:r>
          </w:p>
        </w:tc>
        <w:tc>
          <w:tcPr>
            <w:tcW w:w="992" w:type="dxa"/>
            <w:vAlign w:val="center"/>
          </w:tcPr>
          <w:p w14:paraId="3AE33F93"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3B0AC511"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科研仪器自主创新的实践探索——以海气通量观测支架与近海试验为例</w:t>
            </w:r>
          </w:p>
        </w:tc>
        <w:tc>
          <w:tcPr>
            <w:tcW w:w="992" w:type="dxa"/>
            <w:noWrap/>
            <w:vAlign w:val="center"/>
          </w:tcPr>
          <w:p w14:paraId="2736EEC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吴  霜</w:t>
            </w:r>
          </w:p>
        </w:tc>
      </w:tr>
      <w:tr w:rsidR="00475EFC" w14:paraId="6A47C4CC" w14:textId="77777777">
        <w:trPr>
          <w:trHeight w:val="567"/>
        </w:trPr>
        <w:tc>
          <w:tcPr>
            <w:tcW w:w="710" w:type="dxa"/>
            <w:vAlign w:val="center"/>
          </w:tcPr>
          <w:p w14:paraId="3214F30B"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51</w:t>
            </w:r>
          </w:p>
        </w:tc>
        <w:tc>
          <w:tcPr>
            <w:tcW w:w="992" w:type="dxa"/>
            <w:vAlign w:val="center"/>
          </w:tcPr>
          <w:p w14:paraId="68BCB85F"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2AFA15E1"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新形势下高校文科实验大型仪器设施开放共享路径与模式研究</w:t>
            </w:r>
          </w:p>
        </w:tc>
        <w:tc>
          <w:tcPr>
            <w:tcW w:w="992" w:type="dxa"/>
            <w:noWrap/>
            <w:vAlign w:val="center"/>
          </w:tcPr>
          <w:p w14:paraId="5726102F"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胡菲菲</w:t>
            </w:r>
          </w:p>
        </w:tc>
      </w:tr>
      <w:tr w:rsidR="00475EFC" w14:paraId="4055B1CE" w14:textId="77777777">
        <w:trPr>
          <w:trHeight w:val="567"/>
        </w:trPr>
        <w:tc>
          <w:tcPr>
            <w:tcW w:w="710" w:type="dxa"/>
            <w:vAlign w:val="center"/>
          </w:tcPr>
          <w:p w14:paraId="5E55AB43"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52</w:t>
            </w:r>
          </w:p>
        </w:tc>
        <w:tc>
          <w:tcPr>
            <w:tcW w:w="992" w:type="dxa"/>
            <w:vAlign w:val="center"/>
          </w:tcPr>
          <w:p w14:paraId="17980B6C"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3EFAFF28"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科研范式变革下高校大型科研仪器设施开放共享模式创新与实现路径研究</w:t>
            </w:r>
          </w:p>
        </w:tc>
        <w:tc>
          <w:tcPr>
            <w:tcW w:w="992" w:type="dxa"/>
            <w:noWrap/>
            <w:vAlign w:val="center"/>
          </w:tcPr>
          <w:p w14:paraId="3E1B81F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 xml:space="preserve">王  </w:t>
            </w:r>
            <w:proofErr w:type="gramStart"/>
            <w:r>
              <w:rPr>
                <w:rFonts w:ascii="仿宋_GB2312" w:eastAsia="仿宋_GB2312" w:hAnsi="仿宋" w:hint="eastAsia"/>
                <w:sz w:val="22"/>
              </w:rPr>
              <w:t>戬</w:t>
            </w:r>
            <w:proofErr w:type="gramEnd"/>
          </w:p>
        </w:tc>
      </w:tr>
      <w:tr w:rsidR="00475EFC" w14:paraId="2C3C521E" w14:textId="77777777">
        <w:trPr>
          <w:trHeight w:val="507"/>
        </w:trPr>
        <w:tc>
          <w:tcPr>
            <w:tcW w:w="710" w:type="dxa"/>
            <w:vAlign w:val="center"/>
          </w:tcPr>
          <w:p w14:paraId="3292F3D8"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53</w:t>
            </w:r>
          </w:p>
        </w:tc>
        <w:tc>
          <w:tcPr>
            <w:tcW w:w="992" w:type="dxa"/>
            <w:vAlign w:val="center"/>
          </w:tcPr>
          <w:p w14:paraId="4AA16E4C"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2E1148BB"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高校实验室安全体验式教育路径与模式研究</w:t>
            </w:r>
          </w:p>
        </w:tc>
        <w:tc>
          <w:tcPr>
            <w:tcW w:w="992" w:type="dxa"/>
            <w:noWrap/>
            <w:vAlign w:val="center"/>
          </w:tcPr>
          <w:p w14:paraId="681FEFB8"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沈  琳</w:t>
            </w:r>
          </w:p>
        </w:tc>
      </w:tr>
      <w:tr w:rsidR="00475EFC" w14:paraId="5A2378BE" w14:textId="77777777">
        <w:trPr>
          <w:trHeight w:val="524"/>
        </w:trPr>
        <w:tc>
          <w:tcPr>
            <w:tcW w:w="710" w:type="dxa"/>
            <w:vAlign w:val="center"/>
          </w:tcPr>
          <w:p w14:paraId="21270E6F"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5</w:t>
            </w:r>
            <w:r>
              <w:rPr>
                <w:rFonts w:ascii="仿宋_GB2312" w:eastAsia="仿宋_GB2312" w:hAnsi="仿宋"/>
                <w:sz w:val="22"/>
              </w:rPr>
              <w:t>4</w:t>
            </w:r>
          </w:p>
        </w:tc>
        <w:tc>
          <w:tcPr>
            <w:tcW w:w="992" w:type="dxa"/>
            <w:vAlign w:val="center"/>
          </w:tcPr>
          <w:p w14:paraId="72618160" w14:textId="77777777" w:rsidR="00475EFC" w:rsidRDefault="00722AA8">
            <w:pPr>
              <w:widowControl/>
              <w:jc w:val="center"/>
              <w:textAlignment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21AD43E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面向重大科研任务的高校工程技术人才培养与发展机制研究</w:t>
            </w:r>
          </w:p>
        </w:tc>
        <w:tc>
          <w:tcPr>
            <w:tcW w:w="992" w:type="dxa"/>
            <w:noWrap/>
            <w:vAlign w:val="center"/>
          </w:tcPr>
          <w:p w14:paraId="0F12AA7F"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张园园</w:t>
            </w:r>
          </w:p>
        </w:tc>
      </w:tr>
      <w:tr w:rsidR="00475EFC" w14:paraId="3C358E6F" w14:textId="77777777">
        <w:trPr>
          <w:trHeight w:val="523"/>
        </w:trPr>
        <w:tc>
          <w:tcPr>
            <w:tcW w:w="710" w:type="dxa"/>
            <w:vAlign w:val="center"/>
          </w:tcPr>
          <w:p w14:paraId="1DDBEA1E"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5</w:t>
            </w:r>
            <w:r>
              <w:rPr>
                <w:rFonts w:ascii="仿宋_GB2312" w:eastAsia="仿宋_GB2312" w:hAnsi="仿宋"/>
                <w:sz w:val="22"/>
              </w:rPr>
              <w:t>5</w:t>
            </w:r>
          </w:p>
        </w:tc>
        <w:tc>
          <w:tcPr>
            <w:tcW w:w="992" w:type="dxa"/>
            <w:vAlign w:val="center"/>
          </w:tcPr>
          <w:p w14:paraId="18B13341"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6107FA7C"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高校实验技术队伍建设及发展研究——以上海交通大学为例</w:t>
            </w:r>
          </w:p>
        </w:tc>
        <w:tc>
          <w:tcPr>
            <w:tcW w:w="992" w:type="dxa"/>
            <w:noWrap/>
            <w:vAlign w:val="center"/>
          </w:tcPr>
          <w:p w14:paraId="0A2157E4"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吴秋林</w:t>
            </w:r>
          </w:p>
        </w:tc>
      </w:tr>
      <w:tr w:rsidR="00475EFC" w14:paraId="4FE2A7B9" w14:textId="77777777">
        <w:trPr>
          <w:trHeight w:val="523"/>
        </w:trPr>
        <w:tc>
          <w:tcPr>
            <w:tcW w:w="710" w:type="dxa"/>
            <w:vAlign w:val="center"/>
          </w:tcPr>
          <w:p w14:paraId="6DA61289"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5</w:t>
            </w:r>
            <w:r>
              <w:rPr>
                <w:rFonts w:ascii="仿宋_GB2312" w:eastAsia="仿宋_GB2312" w:hAnsi="仿宋"/>
                <w:sz w:val="22"/>
              </w:rPr>
              <w:t>6</w:t>
            </w:r>
          </w:p>
        </w:tc>
        <w:tc>
          <w:tcPr>
            <w:tcW w:w="992" w:type="dxa"/>
            <w:vAlign w:val="center"/>
          </w:tcPr>
          <w:p w14:paraId="17220649"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0F57E362"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高校实验技术队伍的培养发展路径研究</w:t>
            </w:r>
          </w:p>
        </w:tc>
        <w:tc>
          <w:tcPr>
            <w:tcW w:w="992" w:type="dxa"/>
            <w:noWrap/>
            <w:vAlign w:val="center"/>
          </w:tcPr>
          <w:p w14:paraId="39BAD74E"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赵辰莹</w:t>
            </w:r>
          </w:p>
        </w:tc>
      </w:tr>
      <w:tr w:rsidR="00475EFC" w14:paraId="12A6CE7D" w14:textId="77777777">
        <w:trPr>
          <w:trHeight w:val="523"/>
        </w:trPr>
        <w:tc>
          <w:tcPr>
            <w:tcW w:w="710" w:type="dxa"/>
            <w:vAlign w:val="center"/>
          </w:tcPr>
          <w:p w14:paraId="45493C9F"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5</w:t>
            </w:r>
            <w:r>
              <w:rPr>
                <w:rFonts w:ascii="仿宋_GB2312" w:eastAsia="仿宋_GB2312" w:hAnsi="仿宋"/>
                <w:sz w:val="22"/>
              </w:rPr>
              <w:t>7</w:t>
            </w:r>
          </w:p>
        </w:tc>
        <w:tc>
          <w:tcPr>
            <w:tcW w:w="992" w:type="dxa"/>
            <w:vAlign w:val="center"/>
          </w:tcPr>
          <w:p w14:paraId="25A7867E"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26DF4460"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AI智能体赋能高校国家自然科学基金组织管理服务效能提升的路径研究</w:t>
            </w:r>
          </w:p>
        </w:tc>
        <w:tc>
          <w:tcPr>
            <w:tcW w:w="992" w:type="dxa"/>
            <w:noWrap/>
            <w:vAlign w:val="center"/>
          </w:tcPr>
          <w:p w14:paraId="5E4EDDFB"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马颖怡</w:t>
            </w:r>
          </w:p>
        </w:tc>
      </w:tr>
      <w:tr w:rsidR="00475EFC" w14:paraId="35EC9381" w14:textId="77777777">
        <w:trPr>
          <w:trHeight w:val="567"/>
        </w:trPr>
        <w:tc>
          <w:tcPr>
            <w:tcW w:w="710" w:type="dxa"/>
            <w:vAlign w:val="center"/>
          </w:tcPr>
          <w:p w14:paraId="244C3EE5"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5</w:t>
            </w:r>
            <w:r>
              <w:rPr>
                <w:rFonts w:ascii="仿宋_GB2312" w:eastAsia="仿宋_GB2312" w:hAnsi="仿宋"/>
                <w:sz w:val="22"/>
              </w:rPr>
              <w:t>8</w:t>
            </w:r>
          </w:p>
        </w:tc>
        <w:tc>
          <w:tcPr>
            <w:tcW w:w="992" w:type="dxa"/>
            <w:vAlign w:val="center"/>
          </w:tcPr>
          <w:p w14:paraId="1C15947C"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02EE22DB"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人工智能赋能高校心理健康教育模式创新与实践探索</w:t>
            </w:r>
          </w:p>
        </w:tc>
        <w:tc>
          <w:tcPr>
            <w:tcW w:w="992" w:type="dxa"/>
            <w:noWrap/>
            <w:vAlign w:val="center"/>
          </w:tcPr>
          <w:p w14:paraId="04BBDBD1"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刘  锐</w:t>
            </w:r>
          </w:p>
        </w:tc>
      </w:tr>
      <w:tr w:rsidR="00475EFC" w14:paraId="476566C4" w14:textId="77777777">
        <w:trPr>
          <w:trHeight w:val="567"/>
        </w:trPr>
        <w:tc>
          <w:tcPr>
            <w:tcW w:w="710" w:type="dxa"/>
            <w:vAlign w:val="center"/>
          </w:tcPr>
          <w:p w14:paraId="4FE39DA2"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5</w:t>
            </w:r>
            <w:r>
              <w:rPr>
                <w:rFonts w:ascii="仿宋_GB2312" w:eastAsia="仿宋_GB2312" w:hAnsi="仿宋"/>
                <w:sz w:val="22"/>
              </w:rPr>
              <w:t>9</w:t>
            </w:r>
          </w:p>
        </w:tc>
        <w:tc>
          <w:tcPr>
            <w:tcW w:w="992" w:type="dxa"/>
            <w:vAlign w:val="center"/>
          </w:tcPr>
          <w:p w14:paraId="6A23425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65B4F26C"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面向师生办事场景的AI智能体服务优化路径研究——以上海交通大学“交我办”平台为例</w:t>
            </w:r>
          </w:p>
        </w:tc>
        <w:tc>
          <w:tcPr>
            <w:tcW w:w="992" w:type="dxa"/>
            <w:noWrap/>
            <w:vAlign w:val="center"/>
          </w:tcPr>
          <w:p w14:paraId="69C50BDF"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朱小磊</w:t>
            </w:r>
          </w:p>
        </w:tc>
      </w:tr>
      <w:tr w:rsidR="00475EFC" w14:paraId="1641A84E" w14:textId="77777777">
        <w:trPr>
          <w:trHeight w:val="567"/>
        </w:trPr>
        <w:tc>
          <w:tcPr>
            <w:tcW w:w="710" w:type="dxa"/>
            <w:vAlign w:val="center"/>
          </w:tcPr>
          <w:p w14:paraId="1824579B"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60</w:t>
            </w:r>
          </w:p>
        </w:tc>
        <w:tc>
          <w:tcPr>
            <w:tcW w:w="992" w:type="dxa"/>
            <w:vAlign w:val="center"/>
          </w:tcPr>
          <w:p w14:paraId="4541861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一般</w:t>
            </w:r>
          </w:p>
        </w:tc>
        <w:tc>
          <w:tcPr>
            <w:tcW w:w="6946" w:type="dxa"/>
            <w:noWrap/>
            <w:vAlign w:val="center"/>
          </w:tcPr>
          <w:p w14:paraId="7DC1DD58"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多校区办学格局下校园风险协同治理机制研究——以医学院为例</w:t>
            </w:r>
          </w:p>
        </w:tc>
        <w:tc>
          <w:tcPr>
            <w:tcW w:w="992" w:type="dxa"/>
            <w:noWrap/>
            <w:vAlign w:val="center"/>
          </w:tcPr>
          <w:p w14:paraId="115573A1"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刘  琦</w:t>
            </w:r>
          </w:p>
        </w:tc>
      </w:tr>
      <w:tr w:rsidR="00475EFC" w14:paraId="7628BEE8" w14:textId="77777777">
        <w:trPr>
          <w:trHeight w:val="567"/>
        </w:trPr>
        <w:tc>
          <w:tcPr>
            <w:tcW w:w="710" w:type="dxa"/>
            <w:vAlign w:val="center"/>
          </w:tcPr>
          <w:p w14:paraId="6FE27061"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lastRenderedPageBreak/>
              <w:t>61</w:t>
            </w:r>
          </w:p>
        </w:tc>
        <w:tc>
          <w:tcPr>
            <w:tcW w:w="992" w:type="dxa"/>
            <w:vAlign w:val="center"/>
          </w:tcPr>
          <w:p w14:paraId="5CFE3458"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青年</w:t>
            </w:r>
          </w:p>
        </w:tc>
        <w:tc>
          <w:tcPr>
            <w:tcW w:w="6946" w:type="dxa"/>
            <w:noWrap/>
            <w:vAlign w:val="center"/>
          </w:tcPr>
          <w:p w14:paraId="1F2AFE98"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大学生人机协同学习质量提升的校本路径研究——基于深层学习素养的诊断与培育</w:t>
            </w:r>
          </w:p>
        </w:tc>
        <w:tc>
          <w:tcPr>
            <w:tcW w:w="992" w:type="dxa"/>
            <w:noWrap/>
            <w:vAlign w:val="center"/>
          </w:tcPr>
          <w:p w14:paraId="4F75D2E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张兴旭</w:t>
            </w:r>
          </w:p>
        </w:tc>
      </w:tr>
      <w:tr w:rsidR="00475EFC" w14:paraId="640FDF29" w14:textId="77777777">
        <w:trPr>
          <w:trHeight w:val="567"/>
        </w:trPr>
        <w:tc>
          <w:tcPr>
            <w:tcW w:w="710" w:type="dxa"/>
            <w:vAlign w:val="center"/>
          </w:tcPr>
          <w:p w14:paraId="1430C611"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62</w:t>
            </w:r>
          </w:p>
        </w:tc>
        <w:tc>
          <w:tcPr>
            <w:tcW w:w="992" w:type="dxa"/>
            <w:vAlign w:val="center"/>
          </w:tcPr>
          <w:p w14:paraId="2E2B305A"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青年</w:t>
            </w:r>
          </w:p>
        </w:tc>
        <w:tc>
          <w:tcPr>
            <w:tcW w:w="6946" w:type="dxa"/>
            <w:noWrap/>
            <w:vAlign w:val="center"/>
          </w:tcPr>
          <w:p w14:paraId="49EAACAF"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工科院校国际研究生招生质量提升的研究与实践——以机械与动力工程学院为例</w:t>
            </w:r>
          </w:p>
        </w:tc>
        <w:tc>
          <w:tcPr>
            <w:tcW w:w="992" w:type="dxa"/>
            <w:noWrap/>
            <w:vAlign w:val="center"/>
          </w:tcPr>
          <w:p w14:paraId="4AEF940F"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赵芷艺</w:t>
            </w:r>
          </w:p>
        </w:tc>
      </w:tr>
      <w:tr w:rsidR="00475EFC" w14:paraId="6AD9930B" w14:textId="77777777">
        <w:trPr>
          <w:trHeight w:val="567"/>
        </w:trPr>
        <w:tc>
          <w:tcPr>
            <w:tcW w:w="710" w:type="dxa"/>
            <w:vAlign w:val="center"/>
          </w:tcPr>
          <w:p w14:paraId="4FF10E52"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63</w:t>
            </w:r>
          </w:p>
        </w:tc>
        <w:tc>
          <w:tcPr>
            <w:tcW w:w="992" w:type="dxa"/>
            <w:vAlign w:val="center"/>
          </w:tcPr>
          <w:p w14:paraId="6DBF453D"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青年</w:t>
            </w:r>
          </w:p>
        </w:tc>
        <w:tc>
          <w:tcPr>
            <w:tcW w:w="6946" w:type="dxa"/>
            <w:noWrap/>
            <w:vAlign w:val="center"/>
          </w:tcPr>
          <w:p w14:paraId="5DD0331D"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基于科技大数据的生物医药产业人才供需匹配监测与学科专业动态调整机制研究</w:t>
            </w:r>
          </w:p>
        </w:tc>
        <w:tc>
          <w:tcPr>
            <w:tcW w:w="992" w:type="dxa"/>
            <w:noWrap/>
            <w:vAlign w:val="center"/>
          </w:tcPr>
          <w:p w14:paraId="1745C66A"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王涵春</w:t>
            </w:r>
          </w:p>
        </w:tc>
      </w:tr>
      <w:tr w:rsidR="00475EFC" w14:paraId="12870DB4" w14:textId="77777777">
        <w:trPr>
          <w:trHeight w:val="567"/>
        </w:trPr>
        <w:tc>
          <w:tcPr>
            <w:tcW w:w="710" w:type="dxa"/>
            <w:vAlign w:val="center"/>
          </w:tcPr>
          <w:p w14:paraId="37EAF23A"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64</w:t>
            </w:r>
          </w:p>
        </w:tc>
        <w:tc>
          <w:tcPr>
            <w:tcW w:w="992" w:type="dxa"/>
            <w:vAlign w:val="center"/>
          </w:tcPr>
          <w:p w14:paraId="4B5B5DD5"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青年</w:t>
            </w:r>
          </w:p>
        </w:tc>
        <w:tc>
          <w:tcPr>
            <w:tcW w:w="6946" w:type="dxa"/>
            <w:noWrap/>
            <w:vAlign w:val="center"/>
          </w:tcPr>
          <w:p w14:paraId="0B2B882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高校学生工作与教学管理协同育人机制研究</w:t>
            </w:r>
          </w:p>
        </w:tc>
        <w:tc>
          <w:tcPr>
            <w:tcW w:w="992" w:type="dxa"/>
            <w:noWrap/>
            <w:vAlign w:val="center"/>
          </w:tcPr>
          <w:p w14:paraId="2012F67E"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王文杰</w:t>
            </w:r>
          </w:p>
        </w:tc>
      </w:tr>
      <w:tr w:rsidR="00475EFC" w14:paraId="0970693B" w14:textId="77777777">
        <w:trPr>
          <w:trHeight w:val="494"/>
        </w:trPr>
        <w:tc>
          <w:tcPr>
            <w:tcW w:w="710" w:type="dxa"/>
            <w:vAlign w:val="center"/>
          </w:tcPr>
          <w:p w14:paraId="62256245"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65</w:t>
            </w:r>
          </w:p>
        </w:tc>
        <w:tc>
          <w:tcPr>
            <w:tcW w:w="992" w:type="dxa"/>
            <w:vAlign w:val="center"/>
          </w:tcPr>
          <w:p w14:paraId="4F37CD8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青年</w:t>
            </w:r>
          </w:p>
        </w:tc>
        <w:tc>
          <w:tcPr>
            <w:tcW w:w="6946" w:type="dxa"/>
            <w:noWrap/>
            <w:vAlign w:val="center"/>
          </w:tcPr>
          <w:p w14:paraId="2AD4936E"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世界一流大学科研成果科普价值挖掘与转化机制研究</w:t>
            </w:r>
          </w:p>
        </w:tc>
        <w:tc>
          <w:tcPr>
            <w:tcW w:w="992" w:type="dxa"/>
            <w:noWrap/>
            <w:vAlign w:val="center"/>
          </w:tcPr>
          <w:p w14:paraId="38289F34"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王淑琴</w:t>
            </w:r>
          </w:p>
        </w:tc>
      </w:tr>
      <w:tr w:rsidR="00475EFC" w14:paraId="4AB08B41" w14:textId="77777777">
        <w:trPr>
          <w:trHeight w:val="387"/>
        </w:trPr>
        <w:tc>
          <w:tcPr>
            <w:tcW w:w="710" w:type="dxa"/>
            <w:vAlign w:val="center"/>
          </w:tcPr>
          <w:p w14:paraId="3881C005"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66</w:t>
            </w:r>
          </w:p>
        </w:tc>
        <w:tc>
          <w:tcPr>
            <w:tcW w:w="992" w:type="dxa"/>
            <w:vAlign w:val="center"/>
          </w:tcPr>
          <w:p w14:paraId="64B05382"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青年</w:t>
            </w:r>
          </w:p>
        </w:tc>
        <w:tc>
          <w:tcPr>
            <w:tcW w:w="6946" w:type="dxa"/>
            <w:noWrap/>
            <w:vAlign w:val="center"/>
          </w:tcPr>
          <w:p w14:paraId="5B809E4E"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过程管理视角下本科生学业成长追踪与干预政策研究——以本科毕业环节质量风险前置识别与协同支持为例</w:t>
            </w:r>
          </w:p>
        </w:tc>
        <w:tc>
          <w:tcPr>
            <w:tcW w:w="992" w:type="dxa"/>
            <w:noWrap/>
            <w:vAlign w:val="center"/>
          </w:tcPr>
          <w:p w14:paraId="70460EBE"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邱含晶</w:t>
            </w:r>
          </w:p>
        </w:tc>
      </w:tr>
      <w:tr w:rsidR="00475EFC" w14:paraId="2C10AE0D" w14:textId="77777777">
        <w:trPr>
          <w:trHeight w:val="407"/>
        </w:trPr>
        <w:tc>
          <w:tcPr>
            <w:tcW w:w="710" w:type="dxa"/>
            <w:vAlign w:val="center"/>
          </w:tcPr>
          <w:p w14:paraId="71DB1CBE"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67</w:t>
            </w:r>
          </w:p>
        </w:tc>
        <w:tc>
          <w:tcPr>
            <w:tcW w:w="992" w:type="dxa"/>
            <w:vAlign w:val="center"/>
          </w:tcPr>
          <w:p w14:paraId="7DEAA6F2"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青年</w:t>
            </w:r>
          </w:p>
        </w:tc>
        <w:tc>
          <w:tcPr>
            <w:tcW w:w="6946" w:type="dxa"/>
            <w:noWrap/>
            <w:vAlign w:val="center"/>
          </w:tcPr>
          <w:p w14:paraId="2E1390EB"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高校交叉学科研究机构组织模式与评价机制研究——基于国内外典型案例比较</w:t>
            </w:r>
          </w:p>
        </w:tc>
        <w:tc>
          <w:tcPr>
            <w:tcW w:w="992" w:type="dxa"/>
            <w:noWrap/>
            <w:vAlign w:val="center"/>
          </w:tcPr>
          <w:p w14:paraId="3FAB5CB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第五雅婷</w:t>
            </w:r>
          </w:p>
        </w:tc>
      </w:tr>
      <w:tr w:rsidR="00475EFC" w14:paraId="52BC5D40" w14:textId="77777777">
        <w:trPr>
          <w:trHeight w:val="567"/>
        </w:trPr>
        <w:tc>
          <w:tcPr>
            <w:tcW w:w="710" w:type="dxa"/>
            <w:vAlign w:val="center"/>
          </w:tcPr>
          <w:p w14:paraId="16F1ECD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68</w:t>
            </w:r>
          </w:p>
        </w:tc>
        <w:tc>
          <w:tcPr>
            <w:tcW w:w="992" w:type="dxa"/>
            <w:vAlign w:val="center"/>
          </w:tcPr>
          <w:p w14:paraId="5A17857D"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青年</w:t>
            </w:r>
          </w:p>
        </w:tc>
        <w:tc>
          <w:tcPr>
            <w:tcW w:w="6946" w:type="dxa"/>
            <w:noWrap/>
            <w:vAlign w:val="center"/>
          </w:tcPr>
          <w:p w14:paraId="5368EBA5"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高校围绕科技创新、产业发展和国家战略需求协同育人的机制与路径研究——以上海交通大学能源前沿学院为例</w:t>
            </w:r>
          </w:p>
        </w:tc>
        <w:tc>
          <w:tcPr>
            <w:tcW w:w="992" w:type="dxa"/>
            <w:noWrap/>
            <w:vAlign w:val="center"/>
          </w:tcPr>
          <w:p w14:paraId="7B24ED9B"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闫莹雪</w:t>
            </w:r>
          </w:p>
        </w:tc>
      </w:tr>
      <w:tr w:rsidR="00475EFC" w14:paraId="13A24A7E" w14:textId="77777777">
        <w:trPr>
          <w:trHeight w:val="567"/>
        </w:trPr>
        <w:tc>
          <w:tcPr>
            <w:tcW w:w="710" w:type="dxa"/>
            <w:vAlign w:val="center"/>
          </w:tcPr>
          <w:p w14:paraId="1F52498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69</w:t>
            </w:r>
          </w:p>
        </w:tc>
        <w:tc>
          <w:tcPr>
            <w:tcW w:w="992" w:type="dxa"/>
            <w:vAlign w:val="center"/>
          </w:tcPr>
          <w:p w14:paraId="32DB7B63"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青年</w:t>
            </w:r>
          </w:p>
        </w:tc>
        <w:tc>
          <w:tcPr>
            <w:tcW w:w="6946" w:type="dxa"/>
            <w:noWrap/>
            <w:vAlign w:val="center"/>
          </w:tcPr>
          <w:p w14:paraId="29195969"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“超级个体”现象下高校教育舆情风险防控与治理机制研究</w:t>
            </w:r>
          </w:p>
        </w:tc>
        <w:tc>
          <w:tcPr>
            <w:tcW w:w="992" w:type="dxa"/>
            <w:noWrap/>
            <w:vAlign w:val="center"/>
          </w:tcPr>
          <w:p w14:paraId="4C87DFD2" w14:textId="77777777" w:rsidR="00475EFC" w:rsidRDefault="00722AA8">
            <w:pPr>
              <w:adjustRightInd w:val="0"/>
              <w:snapToGrid w:val="0"/>
              <w:spacing w:line="240" w:lineRule="auto"/>
              <w:jc w:val="center"/>
              <w:rPr>
                <w:rFonts w:ascii="仿宋_GB2312" w:eastAsia="仿宋_GB2312" w:hAnsi="仿宋" w:hint="eastAsia"/>
                <w:sz w:val="22"/>
              </w:rPr>
            </w:pPr>
            <w:proofErr w:type="gramStart"/>
            <w:r>
              <w:rPr>
                <w:rFonts w:ascii="仿宋_GB2312" w:eastAsia="仿宋_GB2312" w:hAnsi="仿宋" w:hint="eastAsia"/>
                <w:sz w:val="22"/>
              </w:rPr>
              <w:t>雯</w:t>
            </w:r>
            <w:proofErr w:type="gramEnd"/>
            <w:r>
              <w:rPr>
                <w:rFonts w:ascii="仿宋_GB2312" w:eastAsia="仿宋_GB2312" w:hAnsi="仿宋" w:hint="eastAsia"/>
                <w:sz w:val="22"/>
              </w:rPr>
              <w:t xml:space="preserve">  博</w:t>
            </w:r>
          </w:p>
        </w:tc>
      </w:tr>
      <w:tr w:rsidR="00475EFC" w14:paraId="55DDE3EA" w14:textId="77777777">
        <w:trPr>
          <w:trHeight w:val="567"/>
        </w:trPr>
        <w:tc>
          <w:tcPr>
            <w:tcW w:w="710" w:type="dxa"/>
            <w:vAlign w:val="center"/>
          </w:tcPr>
          <w:p w14:paraId="5410770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70</w:t>
            </w:r>
          </w:p>
        </w:tc>
        <w:tc>
          <w:tcPr>
            <w:tcW w:w="992" w:type="dxa"/>
            <w:vAlign w:val="center"/>
          </w:tcPr>
          <w:p w14:paraId="16B30450"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青年</w:t>
            </w:r>
          </w:p>
        </w:tc>
        <w:tc>
          <w:tcPr>
            <w:tcW w:w="6946" w:type="dxa"/>
            <w:noWrap/>
            <w:vAlign w:val="center"/>
          </w:tcPr>
          <w:p w14:paraId="6CB93073"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高校教学数据治理体系构建与应用研究——以教学运行保障和学情分析为例</w:t>
            </w:r>
          </w:p>
        </w:tc>
        <w:tc>
          <w:tcPr>
            <w:tcW w:w="992" w:type="dxa"/>
            <w:noWrap/>
            <w:vAlign w:val="center"/>
          </w:tcPr>
          <w:p w14:paraId="17849F3F"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徐琨鹏</w:t>
            </w:r>
          </w:p>
        </w:tc>
      </w:tr>
      <w:tr w:rsidR="00475EFC" w14:paraId="2D896C68" w14:textId="77777777">
        <w:trPr>
          <w:trHeight w:val="567"/>
        </w:trPr>
        <w:tc>
          <w:tcPr>
            <w:tcW w:w="710" w:type="dxa"/>
            <w:vAlign w:val="center"/>
          </w:tcPr>
          <w:p w14:paraId="3C7D7268"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71</w:t>
            </w:r>
          </w:p>
        </w:tc>
        <w:tc>
          <w:tcPr>
            <w:tcW w:w="992" w:type="dxa"/>
            <w:vAlign w:val="center"/>
          </w:tcPr>
          <w:p w14:paraId="339AD6ED"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青年</w:t>
            </w:r>
          </w:p>
        </w:tc>
        <w:tc>
          <w:tcPr>
            <w:tcW w:w="6946" w:type="dxa"/>
            <w:noWrap/>
            <w:vAlign w:val="center"/>
          </w:tcPr>
          <w:p w14:paraId="5633FF1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数智赋能高校基建全过程管理的效能提升路径研究</w:t>
            </w:r>
          </w:p>
        </w:tc>
        <w:tc>
          <w:tcPr>
            <w:tcW w:w="992" w:type="dxa"/>
            <w:noWrap/>
            <w:vAlign w:val="center"/>
          </w:tcPr>
          <w:p w14:paraId="23CDE9A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安  康</w:t>
            </w:r>
          </w:p>
        </w:tc>
      </w:tr>
      <w:tr w:rsidR="00475EFC" w14:paraId="064558A6" w14:textId="77777777">
        <w:trPr>
          <w:trHeight w:val="680"/>
        </w:trPr>
        <w:tc>
          <w:tcPr>
            <w:tcW w:w="710" w:type="dxa"/>
            <w:vAlign w:val="center"/>
          </w:tcPr>
          <w:p w14:paraId="0C10A93A"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72</w:t>
            </w:r>
          </w:p>
        </w:tc>
        <w:tc>
          <w:tcPr>
            <w:tcW w:w="992" w:type="dxa"/>
            <w:vAlign w:val="center"/>
          </w:tcPr>
          <w:p w14:paraId="7638C892"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青年</w:t>
            </w:r>
          </w:p>
        </w:tc>
        <w:tc>
          <w:tcPr>
            <w:tcW w:w="6946" w:type="dxa"/>
            <w:noWrap/>
            <w:vAlign w:val="center"/>
          </w:tcPr>
          <w:p w14:paraId="7B73733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高等教育数据治理体系构建与数据驱动决策实证研究</w:t>
            </w:r>
          </w:p>
        </w:tc>
        <w:tc>
          <w:tcPr>
            <w:tcW w:w="992" w:type="dxa"/>
            <w:noWrap/>
            <w:vAlign w:val="center"/>
          </w:tcPr>
          <w:p w14:paraId="1717C74B"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陈蓉蓉</w:t>
            </w:r>
          </w:p>
        </w:tc>
      </w:tr>
      <w:tr w:rsidR="00475EFC" w14:paraId="3E3EFD29" w14:textId="77777777">
        <w:trPr>
          <w:trHeight w:val="567"/>
        </w:trPr>
        <w:tc>
          <w:tcPr>
            <w:tcW w:w="710" w:type="dxa"/>
            <w:vAlign w:val="center"/>
          </w:tcPr>
          <w:p w14:paraId="2D6687F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73</w:t>
            </w:r>
          </w:p>
        </w:tc>
        <w:tc>
          <w:tcPr>
            <w:tcW w:w="992" w:type="dxa"/>
            <w:vAlign w:val="center"/>
          </w:tcPr>
          <w:p w14:paraId="517AAFEC"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青年</w:t>
            </w:r>
          </w:p>
        </w:tc>
        <w:tc>
          <w:tcPr>
            <w:tcW w:w="6946" w:type="dxa"/>
            <w:noWrap/>
            <w:vAlign w:val="center"/>
          </w:tcPr>
          <w:p w14:paraId="6ABBDC7B"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数智赋能的高校实验室节能低碳管理研究</w:t>
            </w:r>
          </w:p>
        </w:tc>
        <w:tc>
          <w:tcPr>
            <w:tcW w:w="992" w:type="dxa"/>
            <w:noWrap/>
            <w:vAlign w:val="center"/>
          </w:tcPr>
          <w:p w14:paraId="44063C2A"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张青青</w:t>
            </w:r>
          </w:p>
        </w:tc>
      </w:tr>
      <w:tr w:rsidR="00475EFC" w14:paraId="76FD9915" w14:textId="77777777">
        <w:trPr>
          <w:trHeight w:val="567"/>
        </w:trPr>
        <w:tc>
          <w:tcPr>
            <w:tcW w:w="710" w:type="dxa"/>
            <w:vAlign w:val="center"/>
          </w:tcPr>
          <w:p w14:paraId="1182E8F0"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74</w:t>
            </w:r>
          </w:p>
        </w:tc>
        <w:tc>
          <w:tcPr>
            <w:tcW w:w="992" w:type="dxa"/>
            <w:vAlign w:val="center"/>
          </w:tcPr>
          <w:p w14:paraId="662EE6E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青年</w:t>
            </w:r>
          </w:p>
        </w:tc>
        <w:tc>
          <w:tcPr>
            <w:tcW w:w="6946" w:type="dxa"/>
            <w:noWrap/>
            <w:vAlign w:val="center"/>
          </w:tcPr>
          <w:p w14:paraId="305CE9BC"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人工智能驱动的高校公共教室多媒体设备智能运维管理模式构建与实践验证</w:t>
            </w:r>
          </w:p>
        </w:tc>
        <w:tc>
          <w:tcPr>
            <w:tcW w:w="992" w:type="dxa"/>
            <w:noWrap/>
            <w:vAlign w:val="center"/>
          </w:tcPr>
          <w:p w14:paraId="777FA583"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王宜之</w:t>
            </w:r>
          </w:p>
        </w:tc>
      </w:tr>
      <w:tr w:rsidR="00475EFC" w14:paraId="48A5748B" w14:textId="77777777">
        <w:trPr>
          <w:trHeight w:val="567"/>
        </w:trPr>
        <w:tc>
          <w:tcPr>
            <w:tcW w:w="710" w:type="dxa"/>
            <w:vAlign w:val="center"/>
          </w:tcPr>
          <w:p w14:paraId="79E6BCA0"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75</w:t>
            </w:r>
          </w:p>
        </w:tc>
        <w:tc>
          <w:tcPr>
            <w:tcW w:w="992" w:type="dxa"/>
            <w:vAlign w:val="center"/>
          </w:tcPr>
          <w:p w14:paraId="23DF4C0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青年</w:t>
            </w:r>
          </w:p>
        </w:tc>
        <w:tc>
          <w:tcPr>
            <w:tcW w:w="6946" w:type="dxa"/>
            <w:noWrap/>
            <w:vAlign w:val="center"/>
          </w:tcPr>
          <w:p w14:paraId="48744C6F"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基于信息化的高校修缮工程全流程管理优化研究</w:t>
            </w:r>
          </w:p>
        </w:tc>
        <w:tc>
          <w:tcPr>
            <w:tcW w:w="992" w:type="dxa"/>
            <w:noWrap/>
            <w:vAlign w:val="center"/>
          </w:tcPr>
          <w:p w14:paraId="30A51864"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李亚楠</w:t>
            </w:r>
          </w:p>
        </w:tc>
      </w:tr>
    </w:tbl>
    <w:p w14:paraId="0E74C587" w14:textId="77777777" w:rsidR="00475EFC" w:rsidRDefault="00475EFC">
      <w:pPr>
        <w:adjustRightInd w:val="0"/>
        <w:snapToGrid w:val="0"/>
        <w:rPr>
          <w:rFonts w:ascii="仿宋_GB2312" w:eastAsia="仿宋_GB2312" w:hAnsi="仿宋" w:cs="仿宋_GB2312" w:hint="eastAsia"/>
          <w:b/>
          <w:kern w:val="0"/>
          <w:sz w:val="28"/>
          <w:szCs w:val="28"/>
          <w:shd w:val="clear" w:color="auto" w:fill="FFFFFF"/>
        </w:rPr>
      </w:pPr>
    </w:p>
    <w:p w14:paraId="30CA7508" w14:textId="77777777" w:rsidR="00475EFC" w:rsidRDefault="00475EFC">
      <w:pPr>
        <w:adjustRightInd w:val="0"/>
        <w:snapToGrid w:val="0"/>
        <w:jc w:val="center"/>
        <w:rPr>
          <w:rFonts w:ascii="仿宋_GB2312" w:eastAsia="仿宋_GB2312" w:hAnsi="仿宋" w:cs="仿宋_GB2312" w:hint="eastAsia"/>
          <w:b/>
          <w:kern w:val="0"/>
          <w:sz w:val="28"/>
          <w:szCs w:val="28"/>
          <w:shd w:val="clear" w:color="auto" w:fill="FFFFFF"/>
        </w:rPr>
      </w:pPr>
    </w:p>
    <w:p w14:paraId="61F87518" w14:textId="77777777" w:rsidR="00475EFC" w:rsidRDefault="00722AA8">
      <w:pPr>
        <w:adjustRightInd w:val="0"/>
        <w:snapToGrid w:val="0"/>
        <w:jc w:val="center"/>
        <w:rPr>
          <w:rFonts w:ascii="仿宋_GB2312" w:eastAsia="仿宋_GB2312" w:hAnsi="仿宋" w:cs="仿宋_GB2312" w:hint="eastAsia"/>
          <w:b/>
          <w:kern w:val="0"/>
          <w:sz w:val="28"/>
          <w:szCs w:val="28"/>
          <w:shd w:val="clear" w:color="auto" w:fill="FFFFFF"/>
        </w:rPr>
      </w:pPr>
      <w:r>
        <w:rPr>
          <w:rFonts w:ascii="仿宋_GB2312" w:eastAsia="仿宋_GB2312" w:hAnsi="仿宋" w:cs="仿宋_GB2312" w:hint="eastAsia"/>
          <w:b/>
          <w:kern w:val="0"/>
          <w:sz w:val="28"/>
          <w:szCs w:val="28"/>
          <w:shd w:val="clear" w:color="auto" w:fill="FFFFFF"/>
        </w:rPr>
        <w:t>表3：实验技术专项</w:t>
      </w:r>
    </w:p>
    <w:p w14:paraId="13B0F49C" w14:textId="77777777" w:rsidR="00475EFC" w:rsidRDefault="00722AA8">
      <w:pPr>
        <w:jc w:val="center"/>
        <w:rPr>
          <w:rFonts w:ascii="仿宋_GB2312" w:eastAsia="仿宋_GB2312" w:hAnsi="仿宋" w:cs="仿宋_GB2312" w:hint="eastAsia"/>
          <w:b/>
          <w:kern w:val="0"/>
          <w:sz w:val="28"/>
          <w:szCs w:val="28"/>
          <w:shd w:val="clear" w:color="auto" w:fill="FFFFFF"/>
        </w:rPr>
      </w:pPr>
      <w:r>
        <w:rPr>
          <w:rFonts w:ascii="仿宋_GB2312" w:eastAsia="仿宋_GB2312" w:hAnsi="仿宋" w:cs="仿宋_GB2312" w:hint="eastAsia"/>
          <w:b/>
          <w:kern w:val="0"/>
          <w:sz w:val="28"/>
          <w:szCs w:val="28"/>
          <w:shd w:val="clear" w:color="auto" w:fill="FFFFFF"/>
        </w:rPr>
        <w:t>（共</w:t>
      </w:r>
      <w:r>
        <w:rPr>
          <w:rFonts w:ascii="仿宋_GB2312" w:eastAsia="仿宋_GB2312" w:hAnsi="仿宋" w:cs="仿宋_GB2312"/>
          <w:b/>
          <w:kern w:val="0"/>
          <w:sz w:val="28"/>
          <w:szCs w:val="28"/>
          <w:shd w:val="clear" w:color="auto" w:fill="FFFFFF"/>
        </w:rPr>
        <w:t>3</w:t>
      </w:r>
      <w:r>
        <w:rPr>
          <w:rFonts w:ascii="仿宋_GB2312" w:eastAsia="仿宋_GB2312" w:hAnsi="仿宋" w:cs="仿宋_GB2312" w:hint="eastAsia"/>
          <w:b/>
          <w:kern w:val="0"/>
          <w:sz w:val="28"/>
          <w:szCs w:val="28"/>
          <w:shd w:val="clear" w:color="auto" w:fill="FFFFFF"/>
        </w:rPr>
        <w:t>5项，其中重点课题</w:t>
      </w:r>
      <w:r>
        <w:rPr>
          <w:rFonts w:ascii="仿宋_GB2312" w:eastAsia="仿宋_GB2312" w:hAnsi="仿宋" w:cs="仿宋_GB2312"/>
          <w:b/>
          <w:kern w:val="0"/>
          <w:sz w:val="28"/>
          <w:szCs w:val="28"/>
          <w:shd w:val="clear" w:color="auto" w:fill="FFFFFF"/>
        </w:rPr>
        <w:t>5</w:t>
      </w:r>
      <w:r>
        <w:rPr>
          <w:rFonts w:ascii="仿宋_GB2312" w:eastAsia="仿宋_GB2312" w:hAnsi="仿宋" w:cs="仿宋_GB2312" w:hint="eastAsia"/>
          <w:b/>
          <w:kern w:val="0"/>
          <w:sz w:val="28"/>
          <w:szCs w:val="28"/>
          <w:shd w:val="clear" w:color="auto" w:fill="FFFFFF"/>
        </w:rPr>
        <w:t>项，一般课题30项）</w:t>
      </w:r>
    </w:p>
    <w:tbl>
      <w:tblPr>
        <w:tblStyle w:val="a9"/>
        <w:tblW w:w="9786" w:type="dxa"/>
        <w:jc w:val="center"/>
        <w:tblLayout w:type="fixed"/>
        <w:tblLook w:val="04A0" w:firstRow="1" w:lastRow="0" w:firstColumn="1" w:lastColumn="0" w:noHBand="0" w:noVBand="1"/>
      </w:tblPr>
      <w:tblGrid>
        <w:gridCol w:w="704"/>
        <w:gridCol w:w="1134"/>
        <w:gridCol w:w="6946"/>
        <w:gridCol w:w="1002"/>
      </w:tblGrid>
      <w:tr w:rsidR="00475EFC" w14:paraId="5AD9DCD2" w14:textId="77777777">
        <w:trPr>
          <w:trHeight w:val="567"/>
          <w:jc w:val="center"/>
        </w:trPr>
        <w:tc>
          <w:tcPr>
            <w:tcW w:w="704" w:type="dxa"/>
            <w:vAlign w:val="center"/>
          </w:tcPr>
          <w:p w14:paraId="06A4C4D0" w14:textId="77777777" w:rsidR="00475EFC" w:rsidRDefault="00722AA8">
            <w:pPr>
              <w:adjustRightInd w:val="0"/>
              <w:snapToGrid w:val="0"/>
              <w:spacing w:line="240" w:lineRule="auto"/>
              <w:jc w:val="center"/>
              <w:rPr>
                <w:rFonts w:ascii="仿宋_GB2312" w:eastAsia="仿宋_GB2312" w:hAnsi="仿宋" w:hint="eastAsia"/>
                <w:b/>
                <w:sz w:val="22"/>
              </w:rPr>
            </w:pPr>
            <w:r>
              <w:rPr>
                <w:rFonts w:ascii="仿宋_GB2312" w:eastAsia="仿宋_GB2312" w:hAnsi="仿宋" w:hint="eastAsia"/>
                <w:b/>
                <w:sz w:val="22"/>
              </w:rPr>
              <w:t>序号</w:t>
            </w:r>
          </w:p>
        </w:tc>
        <w:tc>
          <w:tcPr>
            <w:tcW w:w="1134" w:type="dxa"/>
            <w:vAlign w:val="center"/>
          </w:tcPr>
          <w:p w14:paraId="7A1F259E" w14:textId="77777777" w:rsidR="00475EFC" w:rsidRDefault="00722AA8">
            <w:pPr>
              <w:adjustRightInd w:val="0"/>
              <w:snapToGrid w:val="0"/>
              <w:spacing w:line="240" w:lineRule="auto"/>
              <w:jc w:val="center"/>
              <w:rPr>
                <w:rFonts w:ascii="仿宋_GB2312" w:eastAsia="仿宋_GB2312" w:hAnsi="仿宋" w:hint="eastAsia"/>
                <w:b/>
                <w:sz w:val="22"/>
              </w:rPr>
            </w:pPr>
            <w:r>
              <w:rPr>
                <w:rFonts w:ascii="仿宋_GB2312" w:eastAsia="仿宋_GB2312" w:hAnsi="仿宋" w:hint="eastAsia"/>
                <w:b/>
                <w:sz w:val="22"/>
              </w:rPr>
              <w:t>课题层次</w:t>
            </w:r>
          </w:p>
        </w:tc>
        <w:tc>
          <w:tcPr>
            <w:tcW w:w="6946" w:type="dxa"/>
            <w:noWrap/>
            <w:vAlign w:val="center"/>
          </w:tcPr>
          <w:p w14:paraId="17F3183C" w14:textId="77777777" w:rsidR="00475EFC" w:rsidRDefault="00722AA8">
            <w:pPr>
              <w:adjustRightInd w:val="0"/>
              <w:snapToGrid w:val="0"/>
              <w:spacing w:line="240" w:lineRule="auto"/>
              <w:jc w:val="center"/>
              <w:rPr>
                <w:rFonts w:ascii="仿宋_GB2312" w:eastAsia="仿宋_GB2312" w:hAnsi="仿宋" w:hint="eastAsia"/>
                <w:b/>
                <w:sz w:val="22"/>
              </w:rPr>
            </w:pPr>
            <w:r>
              <w:rPr>
                <w:rFonts w:ascii="仿宋_GB2312" w:eastAsia="仿宋_GB2312" w:hAnsi="仿宋" w:hint="eastAsia"/>
                <w:b/>
                <w:sz w:val="22"/>
              </w:rPr>
              <w:t>课题名称</w:t>
            </w:r>
          </w:p>
        </w:tc>
        <w:tc>
          <w:tcPr>
            <w:tcW w:w="1002" w:type="dxa"/>
            <w:noWrap/>
            <w:vAlign w:val="center"/>
          </w:tcPr>
          <w:p w14:paraId="63F576C2" w14:textId="77777777" w:rsidR="00475EFC" w:rsidRDefault="00722AA8">
            <w:pPr>
              <w:adjustRightInd w:val="0"/>
              <w:snapToGrid w:val="0"/>
              <w:spacing w:line="240" w:lineRule="auto"/>
              <w:jc w:val="center"/>
              <w:rPr>
                <w:rFonts w:ascii="仿宋_GB2312" w:eastAsia="仿宋_GB2312" w:hAnsi="仿宋" w:hint="eastAsia"/>
                <w:b/>
                <w:sz w:val="22"/>
              </w:rPr>
            </w:pPr>
            <w:r>
              <w:rPr>
                <w:rFonts w:ascii="仿宋_GB2312" w:eastAsia="仿宋_GB2312" w:hAnsi="仿宋" w:hint="eastAsia"/>
                <w:b/>
                <w:sz w:val="22"/>
              </w:rPr>
              <w:t>负责人</w:t>
            </w:r>
          </w:p>
        </w:tc>
      </w:tr>
      <w:tr w:rsidR="00475EFC" w14:paraId="58484C08" w14:textId="77777777">
        <w:trPr>
          <w:trHeight w:val="567"/>
          <w:jc w:val="center"/>
        </w:trPr>
        <w:tc>
          <w:tcPr>
            <w:tcW w:w="704" w:type="dxa"/>
            <w:vAlign w:val="center"/>
          </w:tcPr>
          <w:p w14:paraId="72F95727" w14:textId="77777777" w:rsidR="00475EFC" w:rsidRDefault="00722AA8">
            <w:pPr>
              <w:adjustRightInd w:val="0"/>
              <w:snapToGrid w:val="0"/>
              <w:spacing w:line="240" w:lineRule="auto"/>
              <w:jc w:val="center"/>
              <w:rPr>
                <w:rFonts w:ascii="仿宋_GB2312" w:eastAsia="仿宋_GB2312" w:hAnsi="等线" w:hint="eastAsia"/>
                <w:color w:val="000000"/>
                <w:sz w:val="22"/>
              </w:rPr>
            </w:pPr>
            <w:r>
              <w:rPr>
                <w:rFonts w:ascii="仿宋_GB2312" w:eastAsia="仿宋_GB2312" w:hAnsi="等线" w:hint="eastAsia"/>
                <w:color w:val="000000"/>
                <w:sz w:val="22"/>
              </w:rPr>
              <w:t>1</w:t>
            </w:r>
          </w:p>
        </w:tc>
        <w:tc>
          <w:tcPr>
            <w:tcW w:w="1134" w:type="dxa"/>
            <w:vAlign w:val="center"/>
          </w:tcPr>
          <w:p w14:paraId="62915E77" w14:textId="77777777" w:rsidR="00475EFC" w:rsidRDefault="00722AA8">
            <w:pPr>
              <w:adjustRightInd w:val="0"/>
              <w:snapToGrid w:val="0"/>
              <w:spacing w:line="240" w:lineRule="auto"/>
              <w:jc w:val="center"/>
              <w:rPr>
                <w:rFonts w:ascii="仿宋_GB2312" w:eastAsia="仿宋_GB2312" w:hAnsi="等线" w:hint="eastAsia"/>
                <w:color w:val="000000"/>
                <w:sz w:val="22"/>
              </w:rPr>
            </w:pPr>
            <w:r>
              <w:rPr>
                <w:rFonts w:ascii="仿宋_GB2312" w:eastAsia="仿宋_GB2312" w:hAnsi="等线" w:hint="eastAsia"/>
                <w:color w:val="000000"/>
                <w:sz w:val="22"/>
              </w:rPr>
              <w:t>重点</w:t>
            </w:r>
          </w:p>
        </w:tc>
        <w:tc>
          <w:tcPr>
            <w:tcW w:w="6946" w:type="dxa"/>
            <w:noWrap/>
            <w:vAlign w:val="center"/>
          </w:tcPr>
          <w:p w14:paraId="7DE1D943"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燃料电池中</w:t>
            </w:r>
            <w:r>
              <w:rPr>
                <w:rFonts w:ascii="Times New Roman" w:eastAsia="仿宋_GB2312" w:hAnsi="Times New Roman" w:cs="Times New Roman"/>
                <w:sz w:val="22"/>
              </w:rPr>
              <w:t>Pt</w:t>
            </w:r>
            <w:r>
              <w:rPr>
                <w:rFonts w:ascii="仿宋_GB2312" w:eastAsia="仿宋_GB2312" w:hAnsi="仿宋" w:hint="eastAsia"/>
                <w:sz w:val="22"/>
              </w:rPr>
              <w:t>基金属催化剂的可控制备方法研究</w:t>
            </w:r>
          </w:p>
        </w:tc>
        <w:tc>
          <w:tcPr>
            <w:tcW w:w="1002" w:type="dxa"/>
            <w:noWrap/>
            <w:vAlign w:val="center"/>
          </w:tcPr>
          <w:p w14:paraId="5C58DDF8"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殷洁炜</w:t>
            </w:r>
          </w:p>
        </w:tc>
      </w:tr>
      <w:tr w:rsidR="00475EFC" w14:paraId="45718F64" w14:textId="77777777">
        <w:trPr>
          <w:trHeight w:val="90"/>
          <w:jc w:val="center"/>
        </w:trPr>
        <w:tc>
          <w:tcPr>
            <w:tcW w:w="704" w:type="dxa"/>
            <w:vAlign w:val="center"/>
          </w:tcPr>
          <w:p w14:paraId="6899C00C" w14:textId="77777777" w:rsidR="00475EFC" w:rsidRDefault="00722AA8">
            <w:pPr>
              <w:adjustRightInd w:val="0"/>
              <w:snapToGrid w:val="0"/>
              <w:spacing w:line="240" w:lineRule="auto"/>
              <w:jc w:val="center"/>
              <w:rPr>
                <w:rFonts w:ascii="仿宋_GB2312" w:eastAsia="仿宋_GB2312" w:hAnsi="等线" w:hint="eastAsia"/>
                <w:color w:val="000000"/>
                <w:sz w:val="22"/>
              </w:rPr>
            </w:pPr>
            <w:r>
              <w:rPr>
                <w:rFonts w:ascii="仿宋_GB2312" w:eastAsia="仿宋_GB2312" w:hAnsi="等线" w:hint="eastAsia"/>
                <w:color w:val="000000"/>
                <w:sz w:val="22"/>
              </w:rPr>
              <w:t>2</w:t>
            </w:r>
          </w:p>
        </w:tc>
        <w:tc>
          <w:tcPr>
            <w:tcW w:w="1134" w:type="dxa"/>
            <w:vAlign w:val="center"/>
          </w:tcPr>
          <w:p w14:paraId="6D6970D6" w14:textId="77777777" w:rsidR="00475EFC" w:rsidRDefault="00722AA8">
            <w:pPr>
              <w:adjustRightInd w:val="0"/>
              <w:snapToGrid w:val="0"/>
              <w:spacing w:line="240" w:lineRule="auto"/>
              <w:jc w:val="center"/>
              <w:rPr>
                <w:rFonts w:ascii="仿宋_GB2312" w:eastAsia="仿宋_GB2312" w:hAnsi="等线" w:hint="eastAsia"/>
                <w:color w:val="000000"/>
                <w:sz w:val="22"/>
              </w:rPr>
            </w:pPr>
            <w:r>
              <w:rPr>
                <w:rFonts w:ascii="仿宋_GB2312" w:eastAsia="仿宋_GB2312" w:hAnsi="等线" w:hint="eastAsia"/>
                <w:color w:val="000000"/>
                <w:sz w:val="22"/>
              </w:rPr>
              <w:t>重点</w:t>
            </w:r>
          </w:p>
        </w:tc>
        <w:tc>
          <w:tcPr>
            <w:tcW w:w="6946" w:type="dxa"/>
            <w:noWrap/>
            <w:vAlign w:val="center"/>
          </w:tcPr>
          <w:p w14:paraId="011AB1D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基于冷冻电镜技术的蛋白支架平台建立及其在小蛋白结构解析中的应用</w:t>
            </w:r>
          </w:p>
        </w:tc>
        <w:tc>
          <w:tcPr>
            <w:tcW w:w="1002" w:type="dxa"/>
            <w:noWrap/>
            <w:vAlign w:val="center"/>
          </w:tcPr>
          <w:p w14:paraId="78252E63"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刘  静</w:t>
            </w:r>
          </w:p>
        </w:tc>
      </w:tr>
      <w:tr w:rsidR="00475EFC" w14:paraId="6093189D" w14:textId="77777777">
        <w:trPr>
          <w:trHeight w:val="567"/>
          <w:jc w:val="center"/>
        </w:trPr>
        <w:tc>
          <w:tcPr>
            <w:tcW w:w="704" w:type="dxa"/>
            <w:vAlign w:val="center"/>
          </w:tcPr>
          <w:p w14:paraId="3096C546" w14:textId="77777777" w:rsidR="00475EFC" w:rsidRDefault="00722AA8">
            <w:pPr>
              <w:adjustRightInd w:val="0"/>
              <w:snapToGrid w:val="0"/>
              <w:spacing w:line="240" w:lineRule="auto"/>
              <w:jc w:val="center"/>
              <w:rPr>
                <w:rFonts w:ascii="仿宋_GB2312" w:eastAsia="仿宋_GB2312" w:hAnsi="等线" w:hint="eastAsia"/>
                <w:color w:val="000000"/>
                <w:sz w:val="22"/>
              </w:rPr>
            </w:pPr>
            <w:r>
              <w:rPr>
                <w:rFonts w:ascii="仿宋_GB2312" w:eastAsia="仿宋_GB2312" w:hAnsi="等线" w:hint="eastAsia"/>
                <w:color w:val="000000"/>
                <w:sz w:val="22"/>
              </w:rPr>
              <w:t>3</w:t>
            </w:r>
          </w:p>
        </w:tc>
        <w:tc>
          <w:tcPr>
            <w:tcW w:w="1134" w:type="dxa"/>
            <w:vAlign w:val="center"/>
          </w:tcPr>
          <w:p w14:paraId="231ACF05" w14:textId="77777777" w:rsidR="00475EFC" w:rsidRDefault="00722AA8">
            <w:pPr>
              <w:adjustRightInd w:val="0"/>
              <w:snapToGrid w:val="0"/>
              <w:spacing w:line="240" w:lineRule="auto"/>
              <w:jc w:val="center"/>
              <w:rPr>
                <w:rFonts w:ascii="仿宋_GB2312" w:eastAsia="仿宋_GB2312" w:hAnsi="等线" w:hint="eastAsia"/>
                <w:color w:val="000000"/>
                <w:sz w:val="22"/>
              </w:rPr>
            </w:pPr>
            <w:r>
              <w:rPr>
                <w:rFonts w:ascii="仿宋_GB2312" w:eastAsia="仿宋_GB2312" w:hAnsi="等线" w:hint="eastAsia"/>
                <w:color w:val="000000"/>
                <w:sz w:val="22"/>
              </w:rPr>
              <w:t>重点</w:t>
            </w:r>
          </w:p>
        </w:tc>
        <w:tc>
          <w:tcPr>
            <w:tcW w:w="6946" w:type="dxa"/>
            <w:noWrap/>
            <w:vAlign w:val="center"/>
          </w:tcPr>
          <w:p w14:paraId="5684BC52"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溶剂辅助双喷雾离子源的搭建及在质谱不兼容溶剂体系测试中的应用</w:t>
            </w:r>
          </w:p>
        </w:tc>
        <w:tc>
          <w:tcPr>
            <w:tcW w:w="1002" w:type="dxa"/>
            <w:noWrap/>
            <w:vAlign w:val="center"/>
          </w:tcPr>
          <w:p w14:paraId="3D3976E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汪  航</w:t>
            </w:r>
          </w:p>
        </w:tc>
      </w:tr>
      <w:tr w:rsidR="00475EFC" w14:paraId="3EA38DF3" w14:textId="77777777">
        <w:trPr>
          <w:trHeight w:val="567"/>
          <w:jc w:val="center"/>
        </w:trPr>
        <w:tc>
          <w:tcPr>
            <w:tcW w:w="704" w:type="dxa"/>
            <w:vAlign w:val="center"/>
          </w:tcPr>
          <w:p w14:paraId="06242EAF" w14:textId="77777777" w:rsidR="00475EFC" w:rsidRDefault="00722AA8">
            <w:pPr>
              <w:adjustRightInd w:val="0"/>
              <w:snapToGrid w:val="0"/>
              <w:spacing w:line="240" w:lineRule="auto"/>
              <w:jc w:val="center"/>
              <w:rPr>
                <w:rFonts w:ascii="仿宋_GB2312" w:eastAsia="仿宋_GB2312" w:hAnsi="等线" w:hint="eastAsia"/>
                <w:color w:val="000000"/>
                <w:sz w:val="22"/>
              </w:rPr>
            </w:pPr>
            <w:r>
              <w:rPr>
                <w:rFonts w:ascii="仿宋_GB2312" w:eastAsia="仿宋_GB2312" w:hAnsi="等线" w:hint="eastAsia"/>
                <w:color w:val="000000"/>
                <w:sz w:val="22"/>
              </w:rPr>
              <w:lastRenderedPageBreak/>
              <w:t>4</w:t>
            </w:r>
          </w:p>
        </w:tc>
        <w:tc>
          <w:tcPr>
            <w:tcW w:w="1134" w:type="dxa"/>
            <w:vAlign w:val="center"/>
          </w:tcPr>
          <w:p w14:paraId="351F956A" w14:textId="77777777" w:rsidR="00475EFC" w:rsidRDefault="00722AA8">
            <w:pPr>
              <w:adjustRightInd w:val="0"/>
              <w:snapToGrid w:val="0"/>
              <w:spacing w:line="240" w:lineRule="auto"/>
              <w:jc w:val="center"/>
              <w:rPr>
                <w:rFonts w:ascii="仿宋_GB2312" w:eastAsia="仿宋_GB2312" w:hAnsi="等线" w:hint="eastAsia"/>
                <w:color w:val="000000"/>
                <w:sz w:val="22"/>
              </w:rPr>
            </w:pPr>
            <w:r>
              <w:rPr>
                <w:rFonts w:ascii="仿宋_GB2312" w:eastAsia="仿宋_GB2312" w:hAnsi="等线" w:hint="eastAsia"/>
                <w:color w:val="000000"/>
                <w:sz w:val="22"/>
              </w:rPr>
              <w:t>重点</w:t>
            </w:r>
          </w:p>
        </w:tc>
        <w:tc>
          <w:tcPr>
            <w:tcW w:w="6946" w:type="dxa"/>
            <w:noWrap/>
            <w:vAlign w:val="center"/>
          </w:tcPr>
          <w:p w14:paraId="17B3D2EF"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透射电镜机器视觉校准系统开发与应用</w:t>
            </w:r>
          </w:p>
        </w:tc>
        <w:tc>
          <w:tcPr>
            <w:tcW w:w="1002" w:type="dxa"/>
            <w:noWrap/>
            <w:vAlign w:val="center"/>
          </w:tcPr>
          <w:p w14:paraId="68AFE2FA"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马晓丽</w:t>
            </w:r>
          </w:p>
        </w:tc>
      </w:tr>
      <w:tr w:rsidR="00475EFC" w14:paraId="78FFC843" w14:textId="77777777">
        <w:trPr>
          <w:trHeight w:val="567"/>
          <w:jc w:val="center"/>
        </w:trPr>
        <w:tc>
          <w:tcPr>
            <w:tcW w:w="704" w:type="dxa"/>
            <w:vAlign w:val="center"/>
          </w:tcPr>
          <w:p w14:paraId="23898A28" w14:textId="77777777" w:rsidR="00475EFC" w:rsidRDefault="00722AA8">
            <w:pPr>
              <w:adjustRightInd w:val="0"/>
              <w:snapToGrid w:val="0"/>
              <w:spacing w:line="240" w:lineRule="auto"/>
              <w:jc w:val="center"/>
              <w:rPr>
                <w:rFonts w:ascii="仿宋_GB2312" w:eastAsia="仿宋_GB2312" w:hAnsi="等线" w:hint="eastAsia"/>
                <w:color w:val="000000"/>
                <w:sz w:val="22"/>
              </w:rPr>
            </w:pPr>
            <w:r>
              <w:rPr>
                <w:rFonts w:ascii="仿宋_GB2312" w:eastAsia="仿宋_GB2312" w:hAnsi="等线" w:hint="eastAsia"/>
                <w:color w:val="000000"/>
                <w:sz w:val="22"/>
              </w:rPr>
              <w:t>5</w:t>
            </w:r>
          </w:p>
        </w:tc>
        <w:tc>
          <w:tcPr>
            <w:tcW w:w="1134" w:type="dxa"/>
            <w:vAlign w:val="center"/>
          </w:tcPr>
          <w:p w14:paraId="6E85E311" w14:textId="77777777" w:rsidR="00475EFC" w:rsidRDefault="00722AA8">
            <w:pPr>
              <w:adjustRightInd w:val="0"/>
              <w:snapToGrid w:val="0"/>
              <w:spacing w:line="240" w:lineRule="auto"/>
              <w:jc w:val="center"/>
              <w:rPr>
                <w:rFonts w:ascii="仿宋_GB2312" w:eastAsia="仿宋_GB2312" w:hAnsi="等线" w:hint="eastAsia"/>
                <w:color w:val="000000"/>
                <w:sz w:val="22"/>
              </w:rPr>
            </w:pPr>
            <w:r>
              <w:rPr>
                <w:rFonts w:ascii="仿宋_GB2312" w:eastAsia="仿宋_GB2312" w:hAnsi="等线" w:hint="eastAsia"/>
                <w:color w:val="000000"/>
                <w:sz w:val="22"/>
              </w:rPr>
              <w:t>重点</w:t>
            </w:r>
          </w:p>
        </w:tc>
        <w:tc>
          <w:tcPr>
            <w:tcW w:w="6946" w:type="dxa"/>
            <w:noWrap/>
            <w:vAlign w:val="center"/>
          </w:tcPr>
          <w:p w14:paraId="2164E868" w14:textId="77777777" w:rsidR="00475EFC" w:rsidRDefault="00722AA8">
            <w:pPr>
              <w:adjustRightInd w:val="0"/>
              <w:snapToGrid w:val="0"/>
              <w:spacing w:line="240" w:lineRule="auto"/>
              <w:jc w:val="center"/>
              <w:rPr>
                <w:rFonts w:ascii="仿宋_GB2312" w:eastAsia="仿宋_GB2312" w:hAnsi="仿宋" w:hint="eastAsia"/>
                <w:sz w:val="22"/>
              </w:rPr>
            </w:pPr>
            <w:r>
              <w:rPr>
                <w:rFonts w:ascii="Times New Roman" w:eastAsia="仿宋_GB2312" w:hAnsi="Times New Roman" w:cs="Times New Roman"/>
                <w:sz w:val="22"/>
              </w:rPr>
              <w:t>AI</w:t>
            </w:r>
            <w:r>
              <w:rPr>
                <w:rFonts w:ascii="仿宋_GB2312" w:eastAsia="仿宋_GB2312" w:hAnsi="仿宋" w:hint="eastAsia"/>
                <w:sz w:val="22"/>
              </w:rPr>
              <w:t>辅助有机电合成综合实验设计——以芳烃溴化和硝基苯电还原为例</w:t>
            </w:r>
          </w:p>
        </w:tc>
        <w:tc>
          <w:tcPr>
            <w:tcW w:w="1002" w:type="dxa"/>
            <w:noWrap/>
            <w:vAlign w:val="center"/>
          </w:tcPr>
          <w:p w14:paraId="3734A08B"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刘雪娇</w:t>
            </w:r>
          </w:p>
        </w:tc>
      </w:tr>
      <w:tr w:rsidR="00475EFC" w14:paraId="6D1A4767" w14:textId="77777777">
        <w:trPr>
          <w:trHeight w:val="567"/>
          <w:jc w:val="center"/>
        </w:trPr>
        <w:tc>
          <w:tcPr>
            <w:tcW w:w="704" w:type="dxa"/>
            <w:vAlign w:val="center"/>
          </w:tcPr>
          <w:p w14:paraId="07B2B565"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6</w:t>
            </w:r>
          </w:p>
        </w:tc>
        <w:tc>
          <w:tcPr>
            <w:tcW w:w="1134" w:type="dxa"/>
            <w:vAlign w:val="center"/>
          </w:tcPr>
          <w:p w14:paraId="6DE58B53"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一般</w:t>
            </w:r>
          </w:p>
        </w:tc>
        <w:tc>
          <w:tcPr>
            <w:tcW w:w="6946" w:type="dxa"/>
            <w:noWrap/>
            <w:vAlign w:val="center"/>
          </w:tcPr>
          <w:p w14:paraId="1A1EF2BB"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实验室安全巡检机器人的技术开发与应用研究</w:t>
            </w:r>
          </w:p>
        </w:tc>
        <w:tc>
          <w:tcPr>
            <w:tcW w:w="1002" w:type="dxa"/>
            <w:noWrap/>
            <w:vAlign w:val="center"/>
          </w:tcPr>
          <w:p w14:paraId="3052A1E9"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高月淑</w:t>
            </w:r>
          </w:p>
        </w:tc>
      </w:tr>
      <w:tr w:rsidR="00475EFC" w14:paraId="7FE49A9C" w14:textId="77777777">
        <w:trPr>
          <w:trHeight w:val="567"/>
          <w:jc w:val="center"/>
        </w:trPr>
        <w:tc>
          <w:tcPr>
            <w:tcW w:w="704" w:type="dxa"/>
            <w:vAlign w:val="center"/>
          </w:tcPr>
          <w:p w14:paraId="24321981"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7</w:t>
            </w:r>
          </w:p>
        </w:tc>
        <w:tc>
          <w:tcPr>
            <w:tcW w:w="1134" w:type="dxa"/>
            <w:vAlign w:val="center"/>
          </w:tcPr>
          <w:p w14:paraId="310930AC"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一般</w:t>
            </w:r>
          </w:p>
        </w:tc>
        <w:tc>
          <w:tcPr>
            <w:tcW w:w="6946" w:type="dxa"/>
            <w:noWrap/>
            <w:vAlign w:val="center"/>
          </w:tcPr>
          <w:p w14:paraId="489D02E9"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基于模块化点击化学的</w:t>
            </w:r>
            <w:r>
              <w:rPr>
                <w:rFonts w:ascii="Times New Roman" w:eastAsia="仿宋_GB2312" w:hAnsi="Times New Roman" w:cs="Times New Roman"/>
                <w:sz w:val="22"/>
              </w:rPr>
              <w:t>CRBN</w:t>
            </w:r>
            <w:r>
              <w:rPr>
                <w:rFonts w:ascii="仿宋_GB2312" w:eastAsia="仿宋_GB2312" w:hAnsi="仿宋" w:hint="eastAsia"/>
                <w:sz w:val="22"/>
              </w:rPr>
              <w:t>分子胶高通量发掘研究</w:t>
            </w:r>
          </w:p>
        </w:tc>
        <w:tc>
          <w:tcPr>
            <w:tcW w:w="1002" w:type="dxa"/>
            <w:noWrap/>
            <w:vAlign w:val="center"/>
          </w:tcPr>
          <w:p w14:paraId="4A8588F9"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江  营</w:t>
            </w:r>
          </w:p>
        </w:tc>
      </w:tr>
      <w:tr w:rsidR="00475EFC" w14:paraId="44C37076" w14:textId="77777777">
        <w:trPr>
          <w:trHeight w:val="567"/>
          <w:jc w:val="center"/>
        </w:trPr>
        <w:tc>
          <w:tcPr>
            <w:tcW w:w="704" w:type="dxa"/>
            <w:vAlign w:val="center"/>
          </w:tcPr>
          <w:p w14:paraId="000C50EE"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8</w:t>
            </w:r>
          </w:p>
        </w:tc>
        <w:tc>
          <w:tcPr>
            <w:tcW w:w="1134" w:type="dxa"/>
            <w:vAlign w:val="center"/>
          </w:tcPr>
          <w:p w14:paraId="7389707B"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一般</w:t>
            </w:r>
          </w:p>
        </w:tc>
        <w:tc>
          <w:tcPr>
            <w:tcW w:w="6946" w:type="dxa"/>
            <w:noWrap/>
            <w:vAlign w:val="center"/>
          </w:tcPr>
          <w:p w14:paraId="7AAD1D7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基于双束电镜-拉伸设备联用跨尺度原位表征材料机械性能的标准化方法研究</w:t>
            </w:r>
          </w:p>
        </w:tc>
        <w:tc>
          <w:tcPr>
            <w:tcW w:w="1002" w:type="dxa"/>
            <w:noWrap/>
            <w:vAlign w:val="center"/>
          </w:tcPr>
          <w:p w14:paraId="5E502C61"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黄  杰</w:t>
            </w:r>
          </w:p>
        </w:tc>
      </w:tr>
      <w:tr w:rsidR="00475EFC" w14:paraId="50524CD0" w14:textId="77777777">
        <w:trPr>
          <w:trHeight w:val="567"/>
          <w:jc w:val="center"/>
        </w:trPr>
        <w:tc>
          <w:tcPr>
            <w:tcW w:w="704" w:type="dxa"/>
            <w:vAlign w:val="center"/>
          </w:tcPr>
          <w:p w14:paraId="18BE35F0"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9</w:t>
            </w:r>
          </w:p>
        </w:tc>
        <w:tc>
          <w:tcPr>
            <w:tcW w:w="1134" w:type="dxa"/>
            <w:vAlign w:val="center"/>
          </w:tcPr>
          <w:p w14:paraId="5427EE36"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一般</w:t>
            </w:r>
          </w:p>
        </w:tc>
        <w:tc>
          <w:tcPr>
            <w:tcW w:w="6946" w:type="dxa"/>
            <w:noWrap/>
            <w:vAlign w:val="center"/>
          </w:tcPr>
          <w:p w14:paraId="1AEA6609"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实验室智能药品耗材全生命周期管理平台与手持终端研发</w:t>
            </w:r>
          </w:p>
        </w:tc>
        <w:tc>
          <w:tcPr>
            <w:tcW w:w="1002" w:type="dxa"/>
            <w:noWrap/>
            <w:vAlign w:val="center"/>
          </w:tcPr>
          <w:p w14:paraId="2D5927A2"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刘  燕</w:t>
            </w:r>
          </w:p>
        </w:tc>
      </w:tr>
      <w:tr w:rsidR="00475EFC" w14:paraId="4C957AA9" w14:textId="77777777">
        <w:trPr>
          <w:trHeight w:val="567"/>
          <w:jc w:val="center"/>
        </w:trPr>
        <w:tc>
          <w:tcPr>
            <w:tcW w:w="704" w:type="dxa"/>
            <w:vAlign w:val="center"/>
          </w:tcPr>
          <w:p w14:paraId="0059B509"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10</w:t>
            </w:r>
          </w:p>
        </w:tc>
        <w:tc>
          <w:tcPr>
            <w:tcW w:w="1134" w:type="dxa"/>
            <w:vAlign w:val="center"/>
          </w:tcPr>
          <w:p w14:paraId="0C82DC36"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一般</w:t>
            </w:r>
          </w:p>
        </w:tc>
        <w:tc>
          <w:tcPr>
            <w:tcW w:w="6946" w:type="dxa"/>
            <w:noWrap/>
            <w:vAlign w:val="center"/>
          </w:tcPr>
          <w:p w14:paraId="1346B11A"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数字化转型驱动船海专业虚拟仿真实验教学体系改革与创新实践研究</w:t>
            </w:r>
          </w:p>
        </w:tc>
        <w:tc>
          <w:tcPr>
            <w:tcW w:w="1002" w:type="dxa"/>
            <w:noWrap/>
            <w:vAlign w:val="center"/>
          </w:tcPr>
          <w:p w14:paraId="1A04FE1E"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史琪琪</w:t>
            </w:r>
          </w:p>
        </w:tc>
      </w:tr>
      <w:tr w:rsidR="00475EFC" w14:paraId="1B3806C8" w14:textId="77777777">
        <w:trPr>
          <w:trHeight w:val="567"/>
          <w:jc w:val="center"/>
        </w:trPr>
        <w:tc>
          <w:tcPr>
            <w:tcW w:w="704" w:type="dxa"/>
            <w:vAlign w:val="center"/>
          </w:tcPr>
          <w:p w14:paraId="1D8F789B"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11</w:t>
            </w:r>
          </w:p>
        </w:tc>
        <w:tc>
          <w:tcPr>
            <w:tcW w:w="1134" w:type="dxa"/>
            <w:vAlign w:val="center"/>
          </w:tcPr>
          <w:p w14:paraId="24128DF4"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一般</w:t>
            </w:r>
          </w:p>
        </w:tc>
        <w:tc>
          <w:tcPr>
            <w:tcW w:w="6946" w:type="dxa"/>
            <w:noWrap/>
            <w:vAlign w:val="center"/>
          </w:tcPr>
          <w:p w14:paraId="76DC9398"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高通量自动化工作站在实验室环境安全监测（空气微生物）的新应用场景探究</w:t>
            </w:r>
          </w:p>
        </w:tc>
        <w:tc>
          <w:tcPr>
            <w:tcW w:w="1002" w:type="dxa"/>
            <w:noWrap/>
            <w:vAlign w:val="center"/>
          </w:tcPr>
          <w:p w14:paraId="071712C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孙  伟</w:t>
            </w:r>
          </w:p>
        </w:tc>
      </w:tr>
      <w:tr w:rsidR="00475EFC" w14:paraId="08CDDD9D" w14:textId="77777777">
        <w:trPr>
          <w:trHeight w:val="567"/>
          <w:jc w:val="center"/>
        </w:trPr>
        <w:tc>
          <w:tcPr>
            <w:tcW w:w="704" w:type="dxa"/>
            <w:vAlign w:val="center"/>
          </w:tcPr>
          <w:p w14:paraId="4F68D9C2"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12</w:t>
            </w:r>
          </w:p>
        </w:tc>
        <w:tc>
          <w:tcPr>
            <w:tcW w:w="1134" w:type="dxa"/>
            <w:vAlign w:val="center"/>
          </w:tcPr>
          <w:p w14:paraId="0476BCAD"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一般</w:t>
            </w:r>
          </w:p>
        </w:tc>
        <w:tc>
          <w:tcPr>
            <w:tcW w:w="6946" w:type="dxa"/>
            <w:noWrap/>
            <w:vAlign w:val="center"/>
          </w:tcPr>
          <w:p w14:paraId="5A30DA1D"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人因导向型细胞房“人-机-环”空间精准规划与流线构建——以健康创新大楼为例</w:t>
            </w:r>
          </w:p>
        </w:tc>
        <w:tc>
          <w:tcPr>
            <w:tcW w:w="1002" w:type="dxa"/>
            <w:noWrap/>
            <w:vAlign w:val="center"/>
          </w:tcPr>
          <w:p w14:paraId="1F2C7D41"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许  瑾</w:t>
            </w:r>
          </w:p>
        </w:tc>
      </w:tr>
      <w:tr w:rsidR="00475EFC" w14:paraId="0D8008E7" w14:textId="77777777">
        <w:trPr>
          <w:trHeight w:val="567"/>
          <w:jc w:val="center"/>
        </w:trPr>
        <w:tc>
          <w:tcPr>
            <w:tcW w:w="704" w:type="dxa"/>
            <w:vAlign w:val="center"/>
          </w:tcPr>
          <w:p w14:paraId="5CBB8FF3"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13</w:t>
            </w:r>
          </w:p>
        </w:tc>
        <w:tc>
          <w:tcPr>
            <w:tcW w:w="1134" w:type="dxa"/>
            <w:vAlign w:val="center"/>
          </w:tcPr>
          <w:p w14:paraId="228E34CC"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一般</w:t>
            </w:r>
          </w:p>
        </w:tc>
        <w:tc>
          <w:tcPr>
            <w:tcW w:w="6946" w:type="dxa"/>
            <w:noWrap/>
            <w:vAlign w:val="center"/>
          </w:tcPr>
          <w:p w14:paraId="448C2F94"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深水试验池自动实验技术研究</w:t>
            </w:r>
          </w:p>
        </w:tc>
        <w:tc>
          <w:tcPr>
            <w:tcW w:w="1002" w:type="dxa"/>
            <w:noWrap/>
            <w:vAlign w:val="center"/>
          </w:tcPr>
          <w:p w14:paraId="510A26D1"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 xml:space="preserve">吴  </w:t>
            </w:r>
            <w:proofErr w:type="gramStart"/>
            <w:r>
              <w:rPr>
                <w:rFonts w:ascii="仿宋_GB2312" w:eastAsia="仿宋_GB2312" w:hAnsi="仿宋" w:hint="eastAsia"/>
                <w:sz w:val="22"/>
              </w:rPr>
              <w:t>骁</w:t>
            </w:r>
            <w:proofErr w:type="gramEnd"/>
          </w:p>
        </w:tc>
      </w:tr>
      <w:tr w:rsidR="00475EFC" w14:paraId="002AEA90" w14:textId="77777777">
        <w:trPr>
          <w:trHeight w:val="567"/>
          <w:jc w:val="center"/>
        </w:trPr>
        <w:tc>
          <w:tcPr>
            <w:tcW w:w="704" w:type="dxa"/>
            <w:vAlign w:val="center"/>
          </w:tcPr>
          <w:p w14:paraId="03E24BC1"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14</w:t>
            </w:r>
          </w:p>
        </w:tc>
        <w:tc>
          <w:tcPr>
            <w:tcW w:w="1134" w:type="dxa"/>
            <w:vAlign w:val="center"/>
          </w:tcPr>
          <w:p w14:paraId="1B80E9AE"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一般</w:t>
            </w:r>
          </w:p>
        </w:tc>
        <w:tc>
          <w:tcPr>
            <w:tcW w:w="6946" w:type="dxa"/>
            <w:noWrap/>
            <w:vAlign w:val="center"/>
          </w:tcPr>
          <w:p w14:paraId="3B918563"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超期服役大型加载设备自主维修维护技术体系研究</w:t>
            </w:r>
          </w:p>
        </w:tc>
        <w:tc>
          <w:tcPr>
            <w:tcW w:w="1002" w:type="dxa"/>
            <w:noWrap/>
            <w:vAlign w:val="center"/>
          </w:tcPr>
          <w:p w14:paraId="58B70440"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邵成健</w:t>
            </w:r>
          </w:p>
        </w:tc>
      </w:tr>
      <w:tr w:rsidR="00475EFC" w14:paraId="5E226D28" w14:textId="77777777">
        <w:trPr>
          <w:trHeight w:val="567"/>
          <w:jc w:val="center"/>
        </w:trPr>
        <w:tc>
          <w:tcPr>
            <w:tcW w:w="704" w:type="dxa"/>
            <w:vAlign w:val="center"/>
          </w:tcPr>
          <w:p w14:paraId="09754B97"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15</w:t>
            </w:r>
          </w:p>
        </w:tc>
        <w:tc>
          <w:tcPr>
            <w:tcW w:w="1134" w:type="dxa"/>
            <w:vAlign w:val="center"/>
          </w:tcPr>
          <w:p w14:paraId="73E198F3"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一般</w:t>
            </w:r>
          </w:p>
        </w:tc>
        <w:tc>
          <w:tcPr>
            <w:tcW w:w="6946" w:type="dxa"/>
            <w:noWrap/>
            <w:vAlign w:val="center"/>
          </w:tcPr>
          <w:p w14:paraId="30B59A3B"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基于人工智能和深度学习的智能滴定分析仪研制与教学应用</w:t>
            </w:r>
          </w:p>
        </w:tc>
        <w:tc>
          <w:tcPr>
            <w:tcW w:w="1002" w:type="dxa"/>
            <w:noWrap/>
            <w:vAlign w:val="center"/>
          </w:tcPr>
          <w:p w14:paraId="41EA8CA5"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刘效艳</w:t>
            </w:r>
          </w:p>
        </w:tc>
      </w:tr>
      <w:tr w:rsidR="00475EFC" w14:paraId="29492B70" w14:textId="77777777">
        <w:trPr>
          <w:trHeight w:val="567"/>
          <w:jc w:val="center"/>
        </w:trPr>
        <w:tc>
          <w:tcPr>
            <w:tcW w:w="704" w:type="dxa"/>
            <w:vAlign w:val="center"/>
          </w:tcPr>
          <w:p w14:paraId="69C281DA"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16</w:t>
            </w:r>
          </w:p>
        </w:tc>
        <w:tc>
          <w:tcPr>
            <w:tcW w:w="1134" w:type="dxa"/>
            <w:vAlign w:val="center"/>
          </w:tcPr>
          <w:p w14:paraId="65FC7EBB"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一般</w:t>
            </w:r>
          </w:p>
        </w:tc>
        <w:tc>
          <w:tcPr>
            <w:tcW w:w="6946" w:type="dxa"/>
            <w:noWrap/>
            <w:vAlign w:val="center"/>
          </w:tcPr>
          <w:p w14:paraId="2296B369"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图像识别辅助样品定位实现分析设备联用</w:t>
            </w:r>
          </w:p>
        </w:tc>
        <w:tc>
          <w:tcPr>
            <w:tcW w:w="1002" w:type="dxa"/>
            <w:noWrap/>
            <w:vAlign w:val="center"/>
          </w:tcPr>
          <w:p w14:paraId="0A6D9711"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李  琳</w:t>
            </w:r>
          </w:p>
        </w:tc>
      </w:tr>
      <w:tr w:rsidR="00475EFC" w14:paraId="11DF3A8C" w14:textId="77777777">
        <w:trPr>
          <w:trHeight w:val="567"/>
          <w:jc w:val="center"/>
        </w:trPr>
        <w:tc>
          <w:tcPr>
            <w:tcW w:w="704" w:type="dxa"/>
            <w:vAlign w:val="center"/>
          </w:tcPr>
          <w:p w14:paraId="77142D5E"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17</w:t>
            </w:r>
          </w:p>
        </w:tc>
        <w:tc>
          <w:tcPr>
            <w:tcW w:w="1134" w:type="dxa"/>
            <w:vAlign w:val="center"/>
          </w:tcPr>
          <w:p w14:paraId="5C1D6C81"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一般</w:t>
            </w:r>
          </w:p>
        </w:tc>
        <w:tc>
          <w:tcPr>
            <w:tcW w:w="6946" w:type="dxa"/>
            <w:noWrap/>
            <w:vAlign w:val="center"/>
          </w:tcPr>
          <w:p w14:paraId="6FD8665B"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高校公共服务平台厂务设备及人员安全智能化运行体系研究</w:t>
            </w:r>
          </w:p>
        </w:tc>
        <w:tc>
          <w:tcPr>
            <w:tcW w:w="1002" w:type="dxa"/>
            <w:noWrap/>
            <w:vAlign w:val="center"/>
          </w:tcPr>
          <w:p w14:paraId="5BDB9490"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吴炜文</w:t>
            </w:r>
          </w:p>
        </w:tc>
      </w:tr>
      <w:tr w:rsidR="00475EFC" w14:paraId="7C114CA1" w14:textId="77777777">
        <w:trPr>
          <w:trHeight w:val="567"/>
          <w:jc w:val="center"/>
        </w:trPr>
        <w:tc>
          <w:tcPr>
            <w:tcW w:w="704" w:type="dxa"/>
            <w:vAlign w:val="center"/>
          </w:tcPr>
          <w:p w14:paraId="3BD5C55B"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18</w:t>
            </w:r>
          </w:p>
        </w:tc>
        <w:tc>
          <w:tcPr>
            <w:tcW w:w="1134" w:type="dxa"/>
            <w:vAlign w:val="center"/>
          </w:tcPr>
          <w:p w14:paraId="13010C41"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一般</w:t>
            </w:r>
          </w:p>
        </w:tc>
        <w:tc>
          <w:tcPr>
            <w:tcW w:w="6946" w:type="dxa"/>
            <w:noWrap/>
            <w:vAlign w:val="center"/>
          </w:tcPr>
          <w:p w14:paraId="2A3FC513"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数据驱动与</w:t>
            </w:r>
            <w:r>
              <w:rPr>
                <w:rFonts w:ascii="Times New Roman" w:eastAsia="仿宋_GB2312" w:hAnsi="Times New Roman" w:cs="Times New Roman"/>
                <w:sz w:val="22"/>
              </w:rPr>
              <w:t>AI</w:t>
            </w:r>
            <w:r>
              <w:rPr>
                <w:rFonts w:ascii="仿宋_GB2312" w:eastAsia="仿宋_GB2312" w:hAnsi="仿宋" w:hint="eastAsia"/>
                <w:sz w:val="22"/>
              </w:rPr>
              <w:t>辅助的声—电融合傅里叶综合实验教学改革与实践研究</w:t>
            </w:r>
          </w:p>
        </w:tc>
        <w:tc>
          <w:tcPr>
            <w:tcW w:w="1002" w:type="dxa"/>
            <w:noWrap/>
            <w:vAlign w:val="center"/>
          </w:tcPr>
          <w:p w14:paraId="6B782ADD"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刘嘉滨</w:t>
            </w:r>
          </w:p>
        </w:tc>
      </w:tr>
      <w:tr w:rsidR="00475EFC" w14:paraId="6CF6D175" w14:textId="77777777">
        <w:trPr>
          <w:trHeight w:val="567"/>
          <w:jc w:val="center"/>
        </w:trPr>
        <w:tc>
          <w:tcPr>
            <w:tcW w:w="704" w:type="dxa"/>
            <w:vAlign w:val="center"/>
          </w:tcPr>
          <w:p w14:paraId="3EB5AF81"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19</w:t>
            </w:r>
          </w:p>
        </w:tc>
        <w:tc>
          <w:tcPr>
            <w:tcW w:w="1134" w:type="dxa"/>
            <w:vAlign w:val="center"/>
          </w:tcPr>
          <w:p w14:paraId="5B1ABACF"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一般</w:t>
            </w:r>
          </w:p>
        </w:tc>
        <w:tc>
          <w:tcPr>
            <w:tcW w:w="6946" w:type="dxa"/>
            <w:noWrap/>
            <w:vAlign w:val="center"/>
          </w:tcPr>
          <w:p w14:paraId="2B7D73F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米线食用品质质构测试流程标准化及感官</w:t>
            </w:r>
            <w:r>
              <w:rPr>
                <w:rFonts w:ascii="仿宋_GB2312" w:eastAsia="仿宋_GB2312" w:hAnsi="仿宋" w:hint="eastAsia"/>
                <w:sz w:val="22"/>
              </w:rPr>
              <w:noBreakHyphen/>
              <w:t>仪器定量对应模型研究</w:t>
            </w:r>
          </w:p>
        </w:tc>
        <w:tc>
          <w:tcPr>
            <w:tcW w:w="1002" w:type="dxa"/>
            <w:noWrap/>
            <w:vAlign w:val="center"/>
          </w:tcPr>
          <w:p w14:paraId="06D67944"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李紫君</w:t>
            </w:r>
          </w:p>
        </w:tc>
      </w:tr>
      <w:tr w:rsidR="00475EFC" w14:paraId="32CC316E" w14:textId="77777777">
        <w:trPr>
          <w:trHeight w:val="567"/>
          <w:jc w:val="center"/>
        </w:trPr>
        <w:tc>
          <w:tcPr>
            <w:tcW w:w="704" w:type="dxa"/>
            <w:vAlign w:val="center"/>
          </w:tcPr>
          <w:p w14:paraId="53CE78B4"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20</w:t>
            </w:r>
          </w:p>
        </w:tc>
        <w:tc>
          <w:tcPr>
            <w:tcW w:w="1134" w:type="dxa"/>
            <w:vAlign w:val="center"/>
          </w:tcPr>
          <w:p w14:paraId="32F96D54"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一般</w:t>
            </w:r>
          </w:p>
        </w:tc>
        <w:tc>
          <w:tcPr>
            <w:tcW w:w="6946" w:type="dxa"/>
            <w:noWrap/>
            <w:vAlign w:val="center"/>
          </w:tcPr>
          <w:p w14:paraId="25E4047C"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基于生物层光干涉技术的便携式抗性基因现场快速检测设备研制及应用研究</w:t>
            </w:r>
          </w:p>
        </w:tc>
        <w:tc>
          <w:tcPr>
            <w:tcW w:w="1002" w:type="dxa"/>
            <w:noWrap/>
            <w:vAlign w:val="center"/>
          </w:tcPr>
          <w:p w14:paraId="378CE223"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 xml:space="preserve">张  </w:t>
            </w:r>
            <w:proofErr w:type="gramStart"/>
            <w:r>
              <w:rPr>
                <w:rFonts w:ascii="仿宋_GB2312" w:eastAsia="仿宋_GB2312" w:hAnsi="仿宋" w:hint="eastAsia"/>
                <w:sz w:val="22"/>
              </w:rPr>
              <w:t>薇</w:t>
            </w:r>
            <w:proofErr w:type="gramEnd"/>
          </w:p>
        </w:tc>
      </w:tr>
      <w:tr w:rsidR="00475EFC" w14:paraId="060D2A69" w14:textId="77777777">
        <w:trPr>
          <w:trHeight w:val="567"/>
          <w:jc w:val="center"/>
        </w:trPr>
        <w:tc>
          <w:tcPr>
            <w:tcW w:w="704" w:type="dxa"/>
            <w:vAlign w:val="center"/>
          </w:tcPr>
          <w:p w14:paraId="5E912532"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21</w:t>
            </w:r>
          </w:p>
        </w:tc>
        <w:tc>
          <w:tcPr>
            <w:tcW w:w="1134" w:type="dxa"/>
            <w:vAlign w:val="center"/>
          </w:tcPr>
          <w:p w14:paraId="014CE003"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一般</w:t>
            </w:r>
          </w:p>
        </w:tc>
        <w:tc>
          <w:tcPr>
            <w:tcW w:w="6946" w:type="dxa"/>
            <w:noWrap/>
            <w:vAlign w:val="center"/>
          </w:tcPr>
          <w:p w14:paraId="7D3A7554"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宁波永新国产超分辨显微镜在生命科学领域应用和验证评价</w:t>
            </w:r>
          </w:p>
        </w:tc>
        <w:tc>
          <w:tcPr>
            <w:tcW w:w="1002" w:type="dxa"/>
            <w:noWrap/>
            <w:vAlign w:val="center"/>
          </w:tcPr>
          <w:p w14:paraId="46B41818"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侯海利</w:t>
            </w:r>
          </w:p>
        </w:tc>
      </w:tr>
      <w:tr w:rsidR="00475EFC" w14:paraId="4E389965" w14:textId="77777777">
        <w:trPr>
          <w:trHeight w:val="567"/>
          <w:jc w:val="center"/>
        </w:trPr>
        <w:tc>
          <w:tcPr>
            <w:tcW w:w="704" w:type="dxa"/>
            <w:vAlign w:val="center"/>
          </w:tcPr>
          <w:p w14:paraId="4220C1E1"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22</w:t>
            </w:r>
          </w:p>
        </w:tc>
        <w:tc>
          <w:tcPr>
            <w:tcW w:w="1134" w:type="dxa"/>
            <w:vAlign w:val="center"/>
          </w:tcPr>
          <w:p w14:paraId="7DBAB65E"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一般</w:t>
            </w:r>
          </w:p>
        </w:tc>
        <w:tc>
          <w:tcPr>
            <w:tcW w:w="6946" w:type="dxa"/>
            <w:noWrap/>
            <w:vAlign w:val="center"/>
          </w:tcPr>
          <w:p w14:paraId="7EF327FC"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基于纳米孔直接</w:t>
            </w:r>
            <w:r>
              <w:rPr>
                <w:rFonts w:ascii="Times New Roman" w:eastAsia="仿宋_GB2312" w:hAnsi="Times New Roman" w:cs="Times New Roman"/>
                <w:sz w:val="22"/>
              </w:rPr>
              <w:t>RNA</w:t>
            </w:r>
            <w:r>
              <w:rPr>
                <w:rFonts w:ascii="Times New Roman" w:eastAsia="仿宋_GB2312" w:hAnsi="Times New Roman" w:cs="Times New Roman"/>
                <w:sz w:val="22"/>
              </w:rPr>
              <w:t>测序与数字</w:t>
            </w:r>
            <w:r>
              <w:rPr>
                <w:rFonts w:ascii="Times New Roman" w:eastAsia="仿宋_GB2312" w:hAnsi="Times New Roman" w:cs="Times New Roman"/>
                <w:sz w:val="22"/>
              </w:rPr>
              <w:t>PCR</w:t>
            </w:r>
            <w:r>
              <w:rPr>
                <w:rFonts w:ascii="Times New Roman" w:eastAsia="仿宋_GB2312" w:hAnsi="Times New Roman" w:cs="Times New Roman"/>
                <w:sz w:val="22"/>
              </w:rPr>
              <w:t>联用的复杂</w:t>
            </w:r>
            <w:r>
              <w:rPr>
                <w:rFonts w:ascii="Times New Roman" w:eastAsia="仿宋_GB2312" w:hAnsi="Times New Roman" w:cs="Times New Roman"/>
                <w:sz w:val="22"/>
              </w:rPr>
              <w:t>RNA</w:t>
            </w:r>
            <w:r>
              <w:rPr>
                <w:rFonts w:ascii="Times New Roman" w:eastAsia="仿宋_GB2312" w:hAnsi="Times New Roman" w:cs="Times New Roman"/>
                <w:sz w:val="22"/>
              </w:rPr>
              <w:t>剪接结构高置信度检测方法研究</w:t>
            </w:r>
          </w:p>
        </w:tc>
        <w:tc>
          <w:tcPr>
            <w:tcW w:w="1002" w:type="dxa"/>
            <w:noWrap/>
            <w:vAlign w:val="center"/>
          </w:tcPr>
          <w:p w14:paraId="5151E7DB"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周  莲</w:t>
            </w:r>
          </w:p>
        </w:tc>
      </w:tr>
      <w:tr w:rsidR="00475EFC" w14:paraId="33C9D774" w14:textId="77777777">
        <w:trPr>
          <w:trHeight w:val="567"/>
          <w:jc w:val="center"/>
        </w:trPr>
        <w:tc>
          <w:tcPr>
            <w:tcW w:w="704" w:type="dxa"/>
            <w:vAlign w:val="center"/>
          </w:tcPr>
          <w:p w14:paraId="6C61938D"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23</w:t>
            </w:r>
          </w:p>
        </w:tc>
        <w:tc>
          <w:tcPr>
            <w:tcW w:w="1134" w:type="dxa"/>
            <w:vAlign w:val="center"/>
          </w:tcPr>
          <w:p w14:paraId="76667C95"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一般</w:t>
            </w:r>
          </w:p>
        </w:tc>
        <w:tc>
          <w:tcPr>
            <w:tcW w:w="6946" w:type="dxa"/>
            <w:noWrap/>
            <w:vAlign w:val="center"/>
          </w:tcPr>
          <w:p w14:paraId="54C663C7"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基于深度学习和聚焦离子束扫描电镜的三维成像高效表征技术路线开发</w:t>
            </w:r>
          </w:p>
        </w:tc>
        <w:tc>
          <w:tcPr>
            <w:tcW w:w="1002" w:type="dxa"/>
            <w:noWrap/>
            <w:vAlign w:val="center"/>
          </w:tcPr>
          <w:p w14:paraId="59EEA8AD"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 xml:space="preserve">余  </w:t>
            </w:r>
            <w:proofErr w:type="gramStart"/>
            <w:r>
              <w:rPr>
                <w:rFonts w:ascii="仿宋_GB2312" w:eastAsia="仿宋_GB2312" w:hAnsi="仿宋" w:hint="eastAsia"/>
                <w:sz w:val="22"/>
              </w:rPr>
              <w:t>娅</w:t>
            </w:r>
            <w:proofErr w:type="gramEnd"/>
          </w:p>
        </w:tc>
      </w:tr>
      <w:tr w:rsidR="00475EFC" w14:paraId="455621FF" w14:textId="77777777">
        <w:trPr>
          <w:trHeight w:val="567"/>
          <w:jc w:val="center"/>
        </w:trPr>
        <w:tc>
          <w:tcPr>
            <w:tcW w:w="704" w:type="dxa"/>
            <w:vAlign w:val="center"/>
          </w:tcPr>
          <w:p w14:paraId="615B587A"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24</w:t>
            </w:r>
          </w:p>
        </w:tc>
        <w:tc>
          <w:tcPr>
            <w:tcW w:w="1134" w:type="dxa"/>
            <w:vAlign w:val="center"/>
          </w:tcPr>
          <w:p w14:paraId="085E2A46"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一般</w:t>
            </w:r>
          </w:p>
        </w:tc>
        <w:tc>
          <w:tcPr>
            <w:tcW w:w="6946" w:type="dxa"/>
            <w:noWrap/>
            <w:vAlign w:val="center"/>
          </w:tcPr>
          <w:p w14:paraId="1F886CC3"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我校基因编辑小鼠</w:t>
            </w:r>
            <w:r>
              <w:rPr>
                <w:rFonts w:ascii="Times New Roman" w:eastAsia="仿宋_GB2312" w:hAnsi="Times New Roman" w:cs="Times New Roman"/>
                <w:sz w:val="22"/>
              </w:rPr>
              <w:t>IVF</w:t>
            </w:r>
            <w:r>
              <w:rPr>
                <w:rFonts w:ascii="Times New Roman" w:eastAsia="仿宋_GB2312" w:hAnsi="Times New Roman" w:cs="Times New Roman"/>
                <w:sz w:val="22"/>
              </w:rPr>
              <w:t>与</w:t>
            </w:r>
            <w:r>
              <w:rPr>
                <w:rFonts w:ascii="Times New Roman" w:eastAsia="仿宋_GB2312" w:hAnsi="Times New Roman" w:cs="Times New Roman"/>
                <w:sz w:val="22"/>
              </w:rPr>
              <w:t>M2-EFS</w:t>
            </w:r>
            <w:r>
              <w:rPr>
                <w:rFonts w:ascii="仿宋_GB2312" w:eastAsia="仿宋_GB2312" w:hAnsi="仿宋" w:hint="eastAsia"/>
                <w:sz w:val="22"/>
              </w:rPr>
              <w:t>胚胎冻存标准化技术平台构建及应用</w:t>
            </w:r>
          </w:p>
        </w:tc>
        <w:tc>
          <w:tcPr>
            <w:tcW w:w="1002" w:type="dxa"/>
            <w:noWrap/>
            <w:vAlign w:val="center"/>
          </w:tcPr>
          <w:p w14:paraId="4FC14A8F"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聂永强</w:t>
            </w:r>
          </w:p>
        </w:tc>
      </w:tr>
      <w:tr w:rsidR="00475EFC" w14:paraId="1C91CEBF" w14:textId="77777777">
        <w:trPr>
          <w:trHeight w:val="567"/>
          <w:jc w:val="center"/>
        </w:trPr>
        <w:tc>
          <w:tcPr>
            <w:tcW w:w="704" w:type="dxa"/>
            <w:vAlign w:val="center"/>
          </w:tcPr>
          <w:p w14:paraId="14630982"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25</w:t>
            </w:r>
          </w:p>
        </w:tc>
        <w:tc>
          <w:tcPr>
            <w:tcW w:w="1134" w:type="dxa"/>
            <w:vAlign w:val="center"/>
          </w:tcPr>
          <w:p w14:paraId="367079D9"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一般</w:t>
            </w:r>
          </w:p>
        </w:tc>
        <w:tc>
          <w:tcPr>
            <w:tcW w:w="6946" w:type="dxa"/>
            <w:noWrap/>
            <w:vAlign w:val="center"/>
          </w:tcPr>
          <w:p w14:paraId="13FF477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基于高通量筛选系统的新型色素沉着检测方法开发与数智化评价</w:t>
            </w:r>
          </w:p>
        </w:tc>
        <w:tc>
          <w:tcPr>
            <w:tcW w:w="1002" w:type="dxa"/>
            <w:noWrap/>
            <w:vAlign w:val="center"/>
          </w:tcPr>
          <w:p w14:paraId="4365343D"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 xml:space="preserve">钱  </w:t>
            </w:r>
            <w:proofErr w:type="gramStart"/>
            <w:r>
              <w:rPr>
                <w:rFonts w:ascii="仿宋_GB2312" w:eastAsia="仿宋_GB2312" w:hAnsi="仿宋" w:hint="eastAsia"/>
                <w:sz w:val="22"/>
              </w:rPr>
              <w:t>岚</w:t>
            </w:r>
            <w:proofErr w:type="gramEnd"/>
          </w:p>
        </w:tc>
      </w:tr>
      <w:tr w:rsidR="00475EFC" w14:paraId="5FB9040C" w14:textId="77777777">
        <w:trPr>
          <w:trHeight w:val="567"/>
          <w:jc w:val="center"/>
        </w:trPr>
        <w:tc>
          <w:tcPr>
            <w:tcW w:w="704" w:type="dxa"/>
            <w:vAlign w:val="center"/>
          </w:tcPr>
          <w:p w14:paraId="20B52CE9"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26</w:t>
            </w:r>
          </w:p>
        </w:tc>
        <w:tc>
          <w:tcPr>
            <w:tcW w:w="1134" w:type="dxa"/>
            <w:vAlign w:val="center"/>
          </w:tcPr>
          <w:p w14:paraId="6188B0F9"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一般</w:t>
            </w:r>
          </w:p>
        </w:tc>
        <w:tc>
          <w:tcPr>
            <w:tcW w:w="6946" w:type="dxa"/>
            <w:noWrap/>
            <w:vAlign w:val="center"/>
          </w:tcPr>
          <w:p w14:paraId="53FA217D"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新工科背景下工程力学电测实验教学改革与实践研究</w:t>
            </w:r>
          </w:p>
        </w:tc>
        <w:tc>
          <w:tcPr>
            <w:tcW w:w="1002" w:type="dxa"/>
            <w:noWrap/>
            <w:vAlign w:val="center"/>
          </w:tcPr>
          <w:p w14:paraId="3DE39ADE"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李旭阳</w:t>
            </w:r>
          </w:p>
        </w:tc>
      </w:tr>
      <w:tr w:rsidR="00475EFC" w14:paraId="6372A242" w14:textId="77777777">
        <w:trPr>
          <w:trHeight w:val="567"/>
          <w:jc w:val="center"/>
        </w:trPr>
        <w:tc>
          <w:tcPr>
            <w:tcW w:w="704" w:type="dxa"/>
            <w:vAlign w:val="center"/>
          </w:tcPr>
          <w:p w14:paraId="57DD328D"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27</w:t>
            </w:r>
          </w:p>
        </w:tc>
        <w:tc>
          <w:tcPr>
            <w:tcW w:w="1134" w:type="dxa"/>
            <w:vAlign w:val="center"/>
          </w:tcPr>
          <w:p w14:paraId="5BE91E2B"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一般</w:t>
            </w:r>
          </w:p>
        </w:tc>
        <w:tc>
          <w:tcPr>
            <w:tcW w:w="6946" w:type="dxa"/>
            <w:noWrap/>
            <w:vAlign w:val="center"/>
          </w:tcPr>
          <w:p w14:paraId="19373463"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“实操导向、分层递进”的电气安全培训与准入考核平台建设</w:t>
            </w:r>
          </w:p>
        </w:tc>
        <w:tc>
          <w:tcPr>
            <w:tcW w:w="1002" w:type="dxa"/>
            <w:noWrap/>
            <w:vAlign w:val="center"/>
          </w:tcPr>
          <w:p w14:paraId="75E1687E"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 xml:space="preserve">吴  </w:t>
            </w:r>
            <w:proofErr w:type="gramStart"/>
            <w:r>
              <w:rPr>
                <w:rFonts w:ascii="仿宋_GB2312" w:eastAsia="仿宋_GB2312" w:hAnsi="仿宋" w:hint="eastAsia"/>
                <w:sz w:val="22"/>
              </w:rPr>
              <w:t>璇</w:t>
            </w:r>
            <w:proofErr w:type="gramEnd"/>
          </w:p>
        </w:tc>
      </w:tr>
      <w:tr w:rsidR="00475EFC" w14:paraId="041DFE17" w14:textId="77777777">
        <w:trPr>
          <w:trHeight w:val="567"/>
          <w:jc w:val="center"/>
        </w:trPr>
        <w:tc>
          <w:tcPr>
            <w:tcW w:w="704" w:type="dxa"/>
            <w:vAlign w:val="center"/>
          </w:tcPr>
          <w:p w14:paraId="3FC79AD0"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lastRenderedPageBreak/>
              <w:t>28</w:t>
            </w:r>
          </w:p>
        </w:tc>
        <w:tc>
          <w:tcPr>
            <w:tcW w:w="1134" w:type="dxa"/>
            <w:vAlign w:val="center"/>
          </w:tcPr>
          <w:p w14:paraId="678AF96C"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一般</w:t>
            </w:r>
          </w:p>
        </w:tc>
        <w:tc>
          <w:tcPr>
            <w:tcW w:w="6946" w:type="dxa"/>
            <w:noWrap/>
            <w:vAlign w:val="center"/>
          </w:tcPr>
          <w:p w14:paraId="598F9899"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 xml:space="preserve">基于声光类比的波动衍射声场 表征实验平台 </w:t>
            </w:r>
          </w:p>
        </w:tc>
        <w:tc>
          <w:tcPr>
            <w:tcW w:w="1002" w:type="dxa"/>
            <w:noWrap/>
            <w:vAlign w:val="center"/>
          </w:tcPr>
          <w:p w14:paraId="74DE02CA"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黄思敏</w:t>
            </w:r>
          </w:p>
        </w:tc>
      </w:tr>
      <w:tr w:rsidR="00475EFC" w14:paraId="616B581C" w14:textId="77777777">
        <w:trPr>
          <w:trHeight w:val="567"/>
          <w:jc w:val="center"/>
        </w:trPr>
        <w:tc>
          <w:tcPr>
            <w:tcW w:w="704" w:type="dxa"/>
            <w:vAlign w:val="center"/>
          </w:tcPr>
          <w:p w14:paraId="0DA971D4"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29</w:t>
            </w:r>
          </w:p>
        </w:tc>
        <w:tc>
          <w:tcPr>
            <w:tcW w:w="1134" w:type="dxa"/>
            <w:vAlign w:val="center"/>
          </w:tcPr>
          <w:p w14:paraId="388091B5"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一般</w:t>
            </w:r>
          </w:p>
        </w:tc>
        <w:tc>
          <w:tcPr>
            <w:tcW w:w="6946" w:type="dxa"/>
            <w:noWrap/>
            <w:vAlign w:val="center"/>
          </w:tcPr>
          <w:p w14:paraId="37628F5E"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大尺寸脑样本空间转录组方法建立与应用</w:t>
            </w:r>
          </w:p>
        </w:tc>
        <w:tc>
          <w:tcPr>
            <w:tcW w:w="1002" w:type="dxa"/>
            <w:noWrap/>
            <w:vAlign w:val="center"/>
          </w:tcPr>
          <w:p w14:paraId="5B22CEFB"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温燕勤</w:t>
            </w:r>
          </w:p>
        </w:tc>
      </w:tr>
      <w:tr w:rsidR="00475EFC" w14:paraId="03BBC39B" w14:textId="77777777">
        <w:trPr>
          <w:trHeight w:val="567"/>
          <w:jc w:val="center"/>
        </w:trPr>
        <w:tc>
          <w:tcPr>
            <w:tcW w:w="704" w:type="dxa"/>
            <w:vAlign w:val="center"/>
          </w:tcPr>
          <w:p w14:paraId="6E201DB5"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30</w:t>
            </w:r>
          </w:p>
        </w:tc>
        <w:tc>
          <w:tcPr>
            <w:tcW w:w="1134" w:type="dxa"/>
            <w:vAlign w:val="center"/>
          </w:tcPr>
          <w:p w14:paraId="6120AC67"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一般</w:t>
            </w:r>
          </w:p>
        </w:tc>
        <w:tc>
          <w:tcPr>
            <w:tcW w:w="6946" w:type="dxa"/>
            <w:noWrap/>
            <w:vAlign w:val="center"/>
          </w:tcPr>
          <w:p w14:paraId="3D82CACD"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 xml:space="preserve">新型 </w:t>
            </w:r>
            <w:r>
              <w:rPr>
                <w:rFonts w:ascii="Times New Roman" w:eastAsia="仿宋_GB2312" w:hAnsi="Times New Roman" w:cs="Times New Roman"/>
                <w:sz w:val="22"/>
              </w:rPr>
              <w:t xml:space="preserve">SPME </w:t>
            </w:r>
            <w:r>
              <w:rPr>
                <w:rFonts w:ascii="仿宋_GB2312" w:eastAsia="仿宋_GB2312" w:hAnsi="仿宋" w:hint="eastAsia"/>
                <w:sz w:val="22"/>
              </w:rPr>
              <w:t>涂层构建及降解废水中全氟与抗生素类新生污染物液质检测研究</w:t>
            </w:r>
          </w:p>
        </w:tc>
        <w:tc>
          <w:tcPr>
            <w:tcW w:w="1002" w:type="dxa"/>
            <w:noWrap/>
            <w:vAlign w:val="center"/>
          </w:tcPr>
          <w:p w14:paraId="5DAAFD14"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胡晓芳</w:t>
            </w:r>
          </w:p>
        </w:tc>
      </w:tr>
      <w:tr w:rsidR="00475EFC" w14:paraId="2611B622" w14:textId="77777777">
        <w:trPr>
          <w:trHeight w:val="567"/>
          <w:jc w:val="center"/>
        </w:trPr>
        <w:tc>
          <w:tcPr>
            <w:tcW w:w="704" w:type="dxa"/>
            <w:vAlign w:val="center"/>
          </w:tcPr>
          <w:p w14:paraId="554BD4E5"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31</w:t>
            </w:r>
          </w:p>
        </w:tc>
        <w:tc>
          <w:tcPr>
            <w:tcW w:w="1134" w:type="dxa"/>
            <w:vAlign w:val="center"/>
          </w:tcPr>
          <w:p w14:paraId="593328E3"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一般</w:t>
            </w:r>
          </w:p>
        </w:tc>
        <w:tc>
          <w:tcPr>
            <w:tcW w:w="6946" w:type="dxa"/>
            <w:noWrap/>
            <w:vAlign w:val="center"/>
          </w:tcPr>
          <w:p w14:paraId="1AB4622F" w14:textId="77777777" w:rsidR="00475EFC" w:rsidRDefault="00722AA8">
            <w:pPr>
              <w:adjustRightInd w:val="0"/>
              <w:snapToGrid w:val="0"/>
              <w:spacing w:line="240" w:lineRule="auto"/>
              <w:jc w:val="center"/>
              <w:rPr>
                <w:rFonts w:ascii="Times New Roman" w:eastAsia="仿宋_GB2312" w:hAnsi="Times New Roman" w:cs="Times New Roman"/>
                <w:sz w:val="22"/>
              </w:rPr>
            </w:pPr>
            <w:r>
              <w:rPr>
                <w:rFonts w:ascii="Times New Roman" w:eastAsia="仿宋_GB2312" w:hAnsi="Times New Roman" w:cs="Times New Roman"/>
                <w:sz w:val="22"/>
              </w:rPr>
              <w:t>建立定量核磁共振</w:t>
            </w:r>
            <w:r>
              <w:rPr>
                <w:rFonts w:ascii="Times New Roman" w:eastAsia="仿宋_GB2312" w:hAnsi="Times New Roman" w:cs="Times New Roman"/>
                <w:sz w:val="22"/>
              </w:rPr>
              <w:t>1H</w:t>
            </w:r>
            <w:r>
              <w:rPr>
                <w:rFonts w:ascii="Times New Roman" w:eastAsia="仿宋_GB2312" w:hAnsi="Times New Roman" w:cs="Times New Roman"/>
                <w:sz w:val="22"/>
              </w:rPr>
              <w:t>谱和</w:t>
            </w:r>
            <w:r>
              <w:rPr>
                <w:rFonts w:ascii="Times New Roman" w:eastAsia="仿宋_GB2312" w:hAnsi="Times New Roman" w:cs="Times New Roman"/>
                <w:sz w:val="22"/>
              </w:rPr>
              <w:t>13C</w:t>
            </w:r>
            <w:r>
              <w:rPr>
                <w:rFonts w:ascii="Times New Roman" w:eastAsia="仿宋_GB2312" w:hAnsi="Times New Roman" w:cs="Times New Roman"/>
                <w:sz w:val="22"/>
              </w:rPr>
              <w:t>谱技术对多糖支链度分析的标准化方法</w:t>
            </w:r>
          </w:p>
        </w:tc>
        <w:tc>
          <w:tcPr>
            <w:tcW w:w="1002" w:type="dxa"/>
            <w:noWrap/>
            <w:vAlign w:val="center"/>
          </w:tcPr>
          <w:p w14:paraId="15277720"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周  佳</w:t>
            </w:r>
          </w:p>
        </w:tc>
      </w:tr>
      <w:tr w:rsidR="00475EFC" w14:paraId="3AF07D09" w14:textId="77777777">
        <w:trPr>
          <w:trHeight w:val="567"/>
          <w:jc w:val="center"/>
        </w:trPr>
        <w:tc>
          <w:tcPr>
            <w:tcW w:w="704" w:type="dxa"/>
            <w:vAlign w:val="center"/>
          </w:tcPr>
          <w:p w14:paraId="1084EFFA"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hint="eastAsia"/>
                <w:color w:val="000000"/>
                <w:sz w:val="22"/>
              </w:rPr>
              <w:t>32</w:t>
            </w:r>
          </w:p>
        </w:tc>
        <w:tc>
          <w:tcPr>
            <w:tcW w:w="1134" w:type="dxa"/>
            <w:vAlign w:val="center"/>
          </w:tcPr>
          <w:p w14:paraId="56F6F115"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一般</w:t>
            </w:r>
          </w:p>
        </w:tc>
        <w:tc>
          <w:tcPr>
            <w:tcW w:w="6946" w:type="dxa"/>
            <w:noWrap/>
            <w:vAlign w:val="center"/>
          </w:tcPr>
          <w:p w14:paraId="5A8B935C" w14:textId="77777777" w:rsidR="00475EFC" w:rsidRDefault="00722AA8">
            <w:pPr>
              <w:adjustRightInd w:val="0"/>
              <w:snapToGrid w:val="0"/>
              <w:spacing w:line="240" w:lineRule="auto"/>
              <w:jc w:val="center"/>
              <w:rPr>
                <w:rFonts w:ascii="Times New Roman" w:eastAsia="仿宋_GB2312" w:hAnsi="Times New Roman" w:cs="Times New Roman"/>
                <w:sz w:val="22"/>
              </w:rPr>
            </w:pPr>
            <w:r>
              <w:rPr>
                <w:rFonts w:ascii="Times New Roman" w:eastAsia="仿宋_GB2312" w:hAnsi="Times New Roman" w:cs="Times New Roman"/>
                <w:sz w:val="22"/>
              </w:rPr>
              <w:t>面向研究者发起的临床研究（</w:t>
            </w:r>
            <w:r>
              <w:rPr>
                <w:rFonts w:ascii="Times New Roman" w:eastAsia="仿宋_GB2312" w:hAnsi="Times New Roman" w:cs="Times New Roman"/>
                <w:sz w:val="22"/>
              </w:rPr>
              <w:t>IIT</w:t>
            </w:r>
            <w:r>
              <w:rPr>
                <w:rFonts w:ascii="Times New Roman" w:eastAsia="仿宋_GB2312" w:hAnsi="Times New Roman" w:cs="Times New Roman"/>
                <w:sz w:val="22"/>
              </w:rPr>
              <w:t>）的</w:t>
            </w:r>
            <w:r>
              <w:rPr>
                <w:rFonts w:ascii="Times New Roman" w:eastAsia="仿宋_GB2312" w:hAnsi="Times New Roman" w:cs="Times New Roman"/>
                <w:sz w:val="22"/>
              </w:rPr>
              <w:t>AI Agent</w:t>
            </w:r>
            <w:r>
              <w:rPr>
                <w:rFonts w:ascii="Times New Roman" w:eastAsia="仿宋_GB2312" w:hAnsi="Times New Roman" w:cs="Times New Roman"/>
                <w:sz w:val="22"/>
              </w:rPr>
              <w:t>数据质控工具建设研究</w:t>
            </w:r>
          </w:p>
        </w:tc>
        <w:tc>
          <w:tcPr>
            <w:tcW w:w="1002" w:type="dxa"/>
            <w:noWrap/>
            <w:vAlign w:val="center"/>
          </w:tcPr>
          <w:p w14:paraId="37A11D5E"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刘伟钰</w:t>
            </w:r>
          </w:p>
        </w:tc>
      </w:tr>
      <w:tr w:rsidR="00475EFC" w14:paraId="455DE02D" w14:textId="77777777">
        <w:trPr>
          <w:trHeight w:val="567"/>
          <w:jc w:val="center"/>
        </w:trPr>
        <w:tc>
          <w:tcPr>
            <w:tcW w:w="704" w:type="dxa"/>
            <w:vAlign w:val="center"/>
          </w:tcPr>
          <w:p w14:paraId="36F98C99"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hint="eastAsia"/>
                <w:color w:val="000000"/>
                <w:sz w:val="22"/>
              </w:rPr>
              <w:t>33</w:t>
            </w:r>
          </w:p>
        </w:tc>
        <w:tc>
          <w:tcPr>
            <w:tcW w:w="1134" w:type="dxa"/>
            <w:vAlign w:val="center"/>
          </w:tcPr>
          <w:p w14:paraId="1E93AA9E"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一般</w:t>
            </w:r>
          </w:p>
        </w:tc>
        <w:tc>
          <w:tcPr>
            <w:tcW w:w="6946" w:type="dxa"/>
            <w:noWrap/>
            <w:vAlign w:val="center"/>
          </w:tcPr>
          <w:p w14:paraId="22052B7E" w14:textId="77777777" w:rsidR="00475EFC" w:rsidRDefault="00722AA8">
            <w:pPr>
              <w:adjustRightInd w:val="0"/>
              <w:snapToGrid w:val="0"/>
              <w:spacing w:line="240" w:lineRule="auto"/>
              <w:jc w:val="center"/>
              <w:rPr>
                <w:rFonts w:ascii="Times New Roman" w:eastAsia="仿宋_GB2312" w:hAnsi="Times New Roman" w:cs="Times New Roman"/>
                <w:sz w:val="22"/>
              </w:rPr>
            </w:pPr>
            <w:r>
              <w:rPr>
                <w:rFonts w:ascii="Times New Roman" w:eastAsia="仿宋_GB2312" w:hAnsi="Times New Roman" w:cs="Times New Roman"/>
                <w:sz w:val="22"/>
              </w:rPr>
              <w:t>实验室</w:t>
            </w:r>
            <w:r>
              <w:rPr>
                <w:rFonts w:ascii="Times New Roman" w:eastAsia="仿宋_GB2312" w:hAnsi="Times New Roman" w:cs="Times New Roman" w:hint="eastAsia"/>
                <w:sz w:val="22"/>
              </w:rPr>
              <w:t>“</w:t>
            </w:r>
            <w:r>
              <w:rPr>
                <w:rFonts w:ascii="Times New Roman" w:eastAsia="仿宋_GB2312" w:hAnsi="Times New Roman" w:cs="Times New Roman"/>
                <w:sz w:val="22"/>
              </w:rPr>
              <w:t>基础安全</w:t>
            </w:r>
            <w:r>
              <w:rPr>
                <w:rFonts w:ascii="Times New Roman" w:eastAsia="仿宋_GB2312" w:hAnsi="Times New Roman" w:cs="Times New Roman"/>
                <w:sz w:val="22"/>
              </w:rPr>
              <w:t>+</w:t>
            </w:r>
            <w:r>
              <w:rPr>
                <w:rFonts w:ascii="Times New Roman" w:eastAsia="仿宋_GB2312" w:hAnsi="Times New Roman" w:cs="Times New Roman"/>
                <w:sz w:val="22"/>
              </w:rPr>
              <w:t>仪器设备</w:t>
            </w:r>
            <w:r>
              <w:rPr>
                <w:rFonts w:ascii="Times New Roman" w:eastAsia="仿宋_GB2312" w:hAnsi="Times New Roman" w:cs="Times New Roman"/>
                <w:sz w:val="22"/>
              </w:rPr>
              <w:t>+</w:t>
            </w:r>
            <w:r>
              <w:rPr>
                <w:rFonts w:ascii="Times New Roman" w:eastAsia="仿宋_GB2312" w:hAnsi="Times New Roman" w:cs="Times New Roman"/>
                <w:sz w:val="22"/>
              </w:rPr>
              <w:t>应急处置</w:t>
            </w:r>
            <w:r>
              <w:rPr>
                <w:rFonts w:ascii="Times New Roman" w:eastAsia="仿宋_GB2312" w:hAnsi="Times New Roman" w:cs="Times New Roman" w:hint="eastAsia"/>
                <w:sz w:val="22"/>
              </w:rPr>
              <w:t>”</w:t>
            </w:r>
            <w:r>
              <w:rPr>
                <w:rFonts w:ascii="Times New Roman" w:eastAsia="仿宋_GB2312" w:hAnsi="Times New Roman" w:cs="Times New Roman"/>
                <w:sz w:val="22"/>
              </w:rPr>
              <w:t>三维</w:t>
            </w:r>
            <w:r>
              <w:rPr>
                <w:rFonts w:ascii="Times New Roman" w:eastAsia="仿宋_GB2312" w:hAnsi="Times New Roman" w:cs="Times New Roman"/>
                <w:sz w:val="22"/>
              </w:rPr>
              <w:t>L-SOP</w:t>
            </w:r>
            <w:r>
              <w:rPr>
                <w:rFonts w:ascii="Times New Roman" w:eastAsia="仿宋_GB2312" w:hAnsi="Times New Roman" w:cs="Times New Roman"/>
                <w:sz w:val="22"/>
              </w:rPr>
              <w:t>体系构建与多模态融合培训研究</w:t>
            </w:r>
          </w:p>
        </w:tc>
        <w:tc>
          <w:tcPr>
            <w:tcW w:w="1002" w:type="dxa"/>
            <w:noWrap/>
            <w:vAlign w:val="center"/>
          </w:tcPr>
          <w:p w14:paraId="3B624E2D"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 xml:space="preserve">徐  </w:t>
            </w:r>
            <w:proofErr w:type="gramStart"/>
            <w:r>
              <w:rPr>
                <w:rFonts w:ascii="仿宋_GB2312" w:eastAsia="仿宋_GB2312" w:hAnsi="仿宋" w:hint="eastAsia"/>
                <w:sz w:val="22"/>
              </w:rPr>
              <w:t>峥</w:t>
            </w:r>
            <w:proofErr w:type="gramEnd"/>
          </w:p>
        </w:tc>
      </w:tr>
      <w:tr w:rsidR="00475EFC" w14:paraId="4229D7F0" w14:textId="77777777">
        <w:trPr>
          <w:trHeight w:val="567"/>
          <w:jc w:val="center"/>
        </w:trPr>
        <w:tc>
          <w:tcPr>
            <w:tcW w:w="704" w:type="dxa"/>
            <w:vAlign w:val="center"/>
          </w:tcPr>
          <w:p w14:paraId="3D6DF14B"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hint="eastAsia"/>
                <w:color w:val="000000"/>
                <w:sz w:val="22"/>
              </w:rPr>
              <w:t>34</w:t>
            </w:r>
          </w:p>
        </w:tc>
        <w:tc>
          <w:tcPr>
            <w:tcW w:w="1134" w:type="dxa"/>
            <w:vAlign w:val="center"/>
          </w:tcPr>
          <w:p w14:paraId="3DCEA702"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一般</w:t>
            </w:r>
          </w:p>
        </w:tc>
        <w:tc>
          <w:tcPr>
            <w:tcW w:w="6946" w:type="dxa"/>
            <w:noWrap/>
            <w:vAlign w:val="center"/>
          </w:tcPr>
          <w:p w14:paraId="3BE9CC9F"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高校激光安全沉浸式实训的创新模式与推广机制研究</w:t>
            </w:r>
          </w:p>
        </w:tc>
        <w:tc>
          <w:tcPr>
            <w:tcW w:w="1002" w:type="dxa"/>
            <w:noWrap/>
            <w:vAlign w:val="center"/>
          </w:tcPr>
          <w:p w14:paraId="135BC1E3"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李晓燕</w:t>
            </w:r>
          </w:p>
        </w:tc>
      </w:tr>
      <w:tr w:rsidR="00475EFC" w14:paraId="133F8861" w14:textId="77777777">
        <w:trPr>
          <w:trHeight w:val="567"/>
          <w:jc w:val="center"/>
        </w:trPr>
        <w:tc>
          <w:tcPr>
            <w:tcW w:w="704" w:type="dxa"/>
            <w:vAlign w:val="center"/>
          </w:tcPr>
          <w:p w14:paraId="5A4DEE0C"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hint="eastAsia"/>
                <w:color w:val="000000"/>
                <w:sz w:val="22"/>
              </w:rPr>
              <w:t>35</w:t>
            </w:r>
          </w:p>
        </w:tc>
        <w:tc>
          <w:tcPr>
            <w:tcW w:w="1134" w:type="dxa"/>
            <w:vAlign w:val="center"/>
          </w:tcPr>
          <w:p w14:paraId="7AB236B8" w14:textId="77777777" w:rsidR="00475EFC" w:rsidRDefault="00722AA8">
            <w:pPr>
              <w:spacing w:line="240" w:lineRule="auto"/>
              <w:jc w:val="center"/>
              <w:rPr>
                <w:rFonts w:ascii="仿宋_GB2312" w:eastAsia="仿宋_GB2312" w:hAnsi="等线" w:hint="eastAsia"/>
                <w:color w:val="000000"/>
                <w:sz w:val="22"/>
              </w:rPr>
            </w:pPr>
            <w:r>
              <w:rPr>
                <w:rFonts w:ascii="仿宋_GB2312" w:eastAsia="仿宋_GB2312" w:hAnsi="等线"/>
                <w:color w:val="000000"/>
                <w:sz w:val="22"/>
              </w:rPr>
              <w:t>一般</w:t>
            </w:r>
          </w:p>
        </w:tc>
        <w:tc>
          <w:tcPr>
            <w:tcW w:w="6946" w:type="dxa"/>
            <w:noWrap/>
            <w:vAlign w:val="center"/>
          </w:tcPr>
          <w:p w14:paraId="21EA346C"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复杂环境下多智能体协同捕获系统设计与控制研究</w:t>
            </w:r>
          </w:p>
        </w:tc>
        <w:tc>
          <w:tcPr>
            <w:tcW w:w="1002" w:type="dxa"/>
            <w:noWrap/>
            <w:vAlign w:val="center"/>
          </w:tcPr>
          <w:p w14:paraId="30E9C536" w14:textId="77777777" w:rsidR="00475EFC" w:rsidRDefault="00722AA8">
            <w:pPr>
              <w:adjustRightInd w:val="0"/>
              <w:snapToGrid w:val="0"/>
              <w:spacing w:line="240" w:lineRule="auto"/>
              <w:jc w:val="center"/>
              <w:rPr>
                <w:rFonts w:ascii="仿宋_GB2312" w:eastAsia="仿宋_GB2312" w:hAnsi="仿宋" w:hint="eastAsia"/>
                <w:sz w:val="22"/>
              </w:rPr>
            </w:pPr>
            <w:r>
              <w:rPr>
                <w:rFonts w:ascii="仿宋_GB2312" w:eastAsia="仿宋_GB2312" w:hAnsi="仿宋" w:hint="eastAsia"/>
                <w:sz w:val="22"/>
              </w:rPr>
              <w:t>刘彦博</w:t>
            </w:r>
          </w:p>
        </w:tc>
      </w:tr>
    </w:tbl>
    <w:p w14:paraId="075FA9F6" w14:textId="77777777" w:rsidR="00475EFC" w:rsidRDefault="00475EFC">
      <w:pPr>
        <w:spacing w:line="240" w:lineRule="auto"/>
        <w:jc w:val="center"/>
        <w:rPr>
          <w:rFonts w:ascii="仿宋_GB2312" w:eastAsia="仿宋_GB2312" w:hAnsi="等线" w:hint="eastAsia"/>
          <w:color w:val="000000"/>
          <w:sz w:val="22"/>
        </w:rPr>
      </w:pPr>
    </w:p>
    <w:sectPr w:rsidR="00475EF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D5203" w14:textId="77777777" w:rsidR="00417432" w:rsidRDefault="00417432">
      <w:pPr>
        <w:spacing w:line="240" w:lineRule="auto"/>
        <w:rPr>
          <w:rFonts w:hint="eastAsia"/>
        </w:rPr>
      </w:pPr>
      <w:r>
        <w:separator/>
      </w:r>
    </w:p>
  </w:endnote>
  <w:endnote w:type="continuationSeparator" w:id="0">
    <w:p w14:paraId="6B20EA18" w14:textId="77777777" w:rsidR="00417432" w:rsidRDefault="00417432">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方正小标宋简体">
    <w:charset w:val="86"/>
    <w:family w:val="script"/>
    <w:pitch w:val="fixed"/>
    <w:sig w:usb0="00000001" w:usb1="080E0000" w:usb2="00000010" w:usb3="00000000" w:csb0="00040000" w:csb1="00000000"/>
    <w:embedRegular r:id="rId1" w:subsetted="1" w:fontKey="{87228FD4-9F1F-4F6D-B6A5-D305B04C736C}"/>
  </w:font>
  <w:font w:name="黑体">
    <w:altName w:val="SimHei"/>
    <w:panose1 w:val="02010609060101010101"/>
    <w:charset w:val="86"/>
    <w:family w:val="modern"/>
    <w:pitch w:val="fixed"/>
    <w:sig w:usb0="800002BF" w:usb1="38CF7CFA" w:usb2="00000016" w:usb3="00000000" w:csb0="00040001" w:csb1="00000000"/>
  </w:font>
  <w:font w:name="仿宋_GB2312">
    <w:charset w:val="86"/>
    <w:family w:val="modern"/>
    <w:pitch w:val="fixed"/>
    <w:sig w:usb0="00000001" w:usb1="080E0000" w:usb2="00000010" w:usb3="00000000" w:csb0="00040000" w:csb1="00000000"/>
    <w:embedRegular r:id="rId2" w:subsetted="1" w:fontKey="{BA1FD871-CEE3-43A0-86C6-EE936CAA43EB}"/>
    <w:embedBold r:id="rId3" w:subsetted="1" w:fontKey="{61A63F1E-FEFB-481F-A6B9-82D1547EFE42}"/>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272CF" w14:textId="77777777" w:rsidR="00417432" w:rsidRDefault="00417432">
      <w:pPr>
        <w:rPr>
          <w:rFonts w:hint="eastAsia"/>
        </w:rPr>
      </w:pPr>
      <w:r>
        <w:separator/>
      </w:r>
    </w:p>
  </w:footnote>
  <w:footnote w:type="continuationSeparator" w:id="0">
    <w:p w14:paraId="220E9D67" w14:textId="77777777" w:rsidR="00417432" w:rsidRDefault="00417432">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TVlMjYxN2I4NTkzY2UyNGM3YTk2MDMzNmM2MDhiZjMifQ=="/>
  </w:docVars>
  <w:rsids>
    <w:rsidRoot w:val="0063395C"/>
    <w:rsid w:val="DA07D7B9"/>
    <w:rsid w:val="F19EC354"/>
    <w:rsid w:val="F7BBC9AE"/>
    <w:rsid w:val="000229DB"/>
    <w:rsid w:val="00024C70"/>
    <w:rsid w:val="00036721"/>
    <w:rsid w:val="00055DCE"/>
    <w:rsid w:val="00055F54"/>
    <w:rsid w:val="00073CF2"/>
    <w:rsid w:val="00075852"/>
    <w:rsid w:val="00080883"/>
    <w:rsid w:val="00085BFD"/>
    <w:rsid w:val="00094D20"/>
    <w:rsid w:val="00097A0D"/>
    <w:rsid w:val="000A3908"/>
    <w:rsid w:val="000A5C26"/>
    <w:rsid w:val="000A6ABA"/>
    <w:rsid w:val="000C12FF"/>
    <w:rsid w:val="000C7610"/>
    <w:rsid w:val="000E63D1"/>
    <w:rsid w:val="000F1276"/>
    <w:rsid w:val="000F3CAD"/>
    <w:rsid w:val="00101FA1"/>
    <w:rsid w:val="001168E7"/>
    <w:rsid w:val="0012111A"/>
    <w:rsid w:val="00126995"/>
    <w:rsid w:val="00127562"/>
    <w:rsid w:val="00134426"/>
    <w:rsid w:val="001346EF"/>
    <w:rsid w:val="00137D5F"/>
    <w:rsid w:val="00141FC2"/>
    <w:rsid w:val="00160333"/>
    <w:rsid w:val="001629AD"/>
    <w:rsid w:val="00175F2D"/>
    <w:rsid w:val="00177A01"/>
    <w:rsid w:val="001816EF"/>
    <w:rsid w:val="00184119"/>
    <w:rsid w:val="0018482F"/>
    <w:rsid w:val="00184E95"/>
    <w:rsid w:val="00195E1E"/>
    <w:rsid w:val="001A7A5F"/>
    <w:rsid w:val="001B5616"/>
    <w:rsid w:val="001B670A"/>
    <w:rsid w:val="001C07AD"/>
    <w:rsid w:val="001C497B"/>
    <w:rsid w:val="001C5F87"/>
    <w:rsid w:val="001D3B2B"/>
    <w:rsid w:val="001D6043"/>
    <w:rsid w:val="001E083F"/>
    <w:rsid w:val="001E290D"/>
    <w:rsid w:val="001E378A"/>
    <w:rsid w:val="001E7928"/>
    <w:rsid w:val="001F13D6"/>
    <w:rsid w:val="001F7D61"/>
    <w:rsid w:val="00200E2D"/>
    <w:rsid w:val="00202DD3"/>
    <w:rsid w:val="00207A47"/>
    <w:rsid w:val="00222E8E"/>
    <w:rsid w:val="0023629A"/>
    <w:rsid w:val="00236FC5"/>
    <w:rsid w:val="0026586E"/>
    <w:rsid w:val="0027696E"/>
    <w:rsid w:val="002870E1"/>
    <w:rsid w:val="00297DF0"/>
    <w:rsid w:val="002B5CB9"/>
    <w:rsid w:val="002C5EC0"/>
    <w:rsid w:val="002C6E60"/>
    <w:rsid w:val="002C77DF"/>
    <w:rsid w:val="002C7801"/>
    <w:rsid w:val="002D13EC"/>
    <w:rsid w:val="002D2E81"/>
    <w:rsid w:val="002E214C"/>
    <w:rsid w:val="002E3459"/>
    <w:rsid w:val="002E43F2"/>
    <w:rsid w:val="002F3043"/>
    <w:rsid w:val="00303EF6"/>
    <w:rsid w:val="00320515"/>
    <w:rsid w:val="003312C5"/>
    <w:rsid w:val="00332BEC"/>
    <w:rsid w:val="003334F1"/>
    <w:rsid w:val="00346359"/>
    <w:rsid w:val="00350B50"/>
    <w:rsid w:val="00357D40"/>
    <w:rsid w:val="00372B72"/>
    <w:rsid w:val="00375F6C"/>
    <w:rsid w:val="00376D42"/>
    <w:rsid w:val="003804C7"/>
    <w:rsid w:val="00382145"/>
    <w:rsid w:val="00386CAC"/>
    <w:rsid w:val="003914AF"/>
    <w:rsid w:val="003A19BE"/>
    <w:rsid w:val="003A3003"/>
    <w:rsid w:val="003A5F6C"/>
    <w:rsid w:val="003B2D23"/>
    <w:rsid w:val="003B54AE"/>
    <w:rsid w:val="003B7BE9"/>
    <w:rsid w:val="003C29CF"/>
    <w:rsid w:val="003C7880"/>
    <w:rsid w:val="003D216E"/>
    <w:rsid w:val="003D2593"/>
    <w:rsid w:val="003D28D3"/>
    <w:rsid w:val="003D719C"/>
    <w:rsid w:val="003E626F"/>
    <w:rsid w:val="003F06B0"/>
    <w:rsid w:val="003F2260"/>
    <w:rsid w:val="003F5597"/>
    <w:rsid w:val="00402375"/>
    <w:rsid w:val="00405945"/>
    <w:rsid w:val="00410327"/>
    <w:rsid w:val="00411938"/>
    <w:rsid w:val="00411964"/>
    <w:rsid w:val="00417432"/>
    <w:rsid w:val="00423667"/>
    <w:rsid w:val="004271E1"/>
    <w:rsid w:val="00430D3C"/>
    <w:rsid w:val="004333C3"/>
    <w:rsid w:val="00446A7F"/>
    <w:rsid w:val="00451BF0"/>
    <w:rsid w:val="00467D92"/>
    <w:rsid w:val="00475EFC"/>
    <w:rsid w:val="00476B10"/>
    <w:rsid w:val="0048382C"/>
    <w:rsid w:val="0048590F"/>
    <w:rsid w:val="00485B8E"/>
    <w:rsid w:val="004860D3"/>
    <w:rsid w:val="004978C2"/>
    <w:rsid w:val="004A2004"/>
    <w:rsid w:val="004B1674"/>
    <w:rsid w:val="004B5F5E"/>
    <w:rsid w:val="004B687D"/>
    <w:rsid w:val="004C5A96"/>
    <w:rsid w:val="004C7E7E"/>
    <w:rsid w:val="004D0CE6"/>
    <w:rsid w:val="004D22D6"/>
    <w:rsid w:val="004D6A83"/>
    <w:rsid w:val="004E28CE"/>
    <w:rsid w:val="004E3275"/>
    <w:rsid w:val="004E4330"/>
    <w:rsid w:val="004F28B6"/>
    <w:rsid w:val="005126EE"/>
    <w:rsid w:val="00524CA8"/>
    <w:rsid w:val="00524F30"/>
    <w:rsid w:val="00527B6E"/>
    <w:rsid w:val="005306F1"/>
    <w:rsid w:val="00536539"/>
    <w:rsid w:val="0054339D"/>
    <w:rsid w:val="00545641"/>
    <w:rsid w:val="005457CD"/>
    <w:rsid w:val="00555C7B"/>
    <w:rsid w:val="0055758E"/>
    <w:rsid w:val="00557787"/>
    <w:rsid w:val="00562BA2"/>
    <w:rsid w:val="00565E71"/>
    <w:rsid w:val="005776FF"/>
    <w:rsid w:val="0058241A"/>
    <w:rsid w:val="00595A1E"/>
    <w:rsid w:val="005A2594"/>
    <w:rsid w:val="005B19A7"/>
    <w:rsid w:val="005B35BA"/>
    <w:rsid w:val="005C3828"/>
    <w:rsid w:val="005D1170"/>
    <w:rsid w:val="005D4EFF"/>
    <w:rsid w:val="005D53C2"/>
    <w:rsid w:val="005D74AD"/>
    <w:rsid w:val="005E03A9"/>
    <w:rsid w:val="005E2110"/>
    <w:rsid w:val="005E2D05"/>
    <w:rsid w:val="005E45F3"/>
    <w:rsid w:val="00610936"/>
    <w:rsid w:val="0061183E"/>
    <w:rsid w:val="0063395C"/>
    <w:rsid w:val="00647D60"/>
    <w:rsid w:val="00650242"/>
    <w:rsid w:val="006535C5"/>
    <w:rsid w:val="00653CD6"/>
    <w:rsid w:val="00660334"/>
    <w:rsid w:val="006654F1"/>
    <w:rsid w:val="00670256"/>
    <w:rsid w:val="0067039F"/>
    <w:rsid w:val="0068028E"/>
    <w:rsid w:val="006808F6"/>
    <w:rsid w:val="006964C8"/>
    <w:rsid w:val="006A1ABC"/>
    <w:rsid w:val="006A68ED"/>
    <w:rsid w:val="006A7BB9"/>
    <w:rsid w:val="006B6EE5"/>
    <w:rsid w:val="006D49EF"/>
    <w:rsid w:val="006E1D81"/>
    <w:rsid w:val="006E2E5A"/>
    <w:rsid w:val="006F22C8"/>
    <w:rsid w:val="006F45F8"/>
    <w:rsid w:val="006F6AF4"/>
    <w:rsid w:val="007030B8"/>
    <w:rsid w:val="00706EA8"/>
    <w:rsid w:val="00722AA8"/>
    <w:rsid w:val="007260C7"/>
    <w:rsid w:val="00730F8D"/>
    <w:rsid w:val="0073100D"/>
    <w:rsid w:val="00731519"/>
    <w:rsid w:val="00731B56"/>
    <w:rsid w:val="00743A2B"/>
    <w:rsid w:val="0074421A"/>
    <w:rsid w:val="00750CA5"/>
    <w:rsid w:val="00757153"/>
    <w:rsid w:val="007804FB"/>
    <w:rsid w:val="00787429"/>
    <w:rsid w:val="007930A1"/>
    <w:rsid w:val="007A6DF4"/>
    <w:rsid w:val="007B6ED5"/>
    <w:rsid w:val="007C02B1"/>
    <w:rsid w:val="007C2B72"/>
    <w:rsid w:val="007E26FD"/>
    <w:rsid w:val="007E2BAA"/>
    <w:rsid w:val="007E75E3"/>
    <w:rsid w:val="007E7D81"/>
    <w:rsid w:val="00800F74"/>
    <w:rsid w:val="00800FED"/>
    <w:rsid w:val="00814F17"/>
    <w:rsid w:val="00816E25"/>
    <w:rsid w:val="00817DB8"/>
    <w:rsid w:val="008213D8"/>
    <w:rsid w:val="00825EAD"/>
    <w:rsid w:val="0083401F"/>
    <w:rsid w:val="008351A1"/>
    <w:rsid w:val="00840EF3"/>
    <w:rsid w:val="00847956"/>
    <w:rsid w:val="0085298B"/>
    <w:rsid w:val="00857090"/>
    <w:rsid w:val="00865C5E"/>
    <w:rsid w:val="00865F3B"/>
    <w:rsid w:val="0086714A"/>
    <w:rsid w:val="0086729C"/>
    <w:rsid w:val="0087164A"/>
    <w:rsid w:val="0087632A"/>
    <w:rsid w:val="008860DB"/>
    <w:rsid w:val="00886EE8"/>
    <w:rsid w:val="008A58EC"/>
    <w:rsid w:val="008B2157"/>
    <w:rsid w:val="008C1D73"/>
    <w:rsid w:val="008C5290"/>
    <w:rsid w:val="008D4DA6"/>
    <w:rsid w:val="00905876"/>
    <w:rsid w:val="00905BF0"/>
    <w:rsid w:val="00911369"/>
    <w:rsid w:val="009133B6"/>
    <w:rsid w:val="00920844"/>
    <w:rsid w:val="00931CBB"/>
    <w:rsid w:val="009345B9"/>
    <w:rsid w:val="0094492C"/>
    <w:rsid w:val="009528CD"/>
    <w:rsid w:val="00954777"/>
    <w:rsid w:val="009604E0"/>
    <w:rsid w:val="00971CF1"/>
    <w:rsid w:val="009833C9"/>
    <w:rsid w:val="00986924"/>
    <w:rsid w:val="009A7935"/>
    <w:rsid w:val="009B1CAB"/>
    <w:rsid w:val="009D287F"/>
    <w:rsid w:val="009D72F3"/>
    <w:rsid w:val="009E4508"/>
    <w:rsid w:val="009F07E9"/>
    <w:rsid w:val="00A01444"/>
    <w:rsid w:val="00A049AA"/>
    <w:rsid w:val="00A06B75"/>
    <w:rsid w:val="00A11D9A"/>
    <w:rsid w:val="00A12DEC"/>
    <w:rsid w:val="00A24B1C"/>
    <w:rsid w:val="00A27FDB"/>
    <w:rsid w:val="00A31F3D"/>
    <w:rsid w:val="00A322A5"/>
    <w:rsid w:val="00A34E21"/>
    <w:rsid w:val="00A3650D"/>
    <w:rsid w:val="00A462D9"/>
    <w:rsid w:val="00A5113F"/>
    <w:rsid w:val="00A51E18"/>
    <w:rsid w:val="00A5243F"/>
    <w:rsid w:val="00A52ABC"/>
    <w:rsid w:val="00A85F17"/>
    <w:rsid w:val="00AA3C40"/>
    <w:rsid w:val="00AA64E9"/>
    <w:rsid w:val="00AD25BE"/>
    <w:rsid w:val="00AE5737"/>
    <w:rsid w:val="00B032F5"/>
    <w:rsid w:val="00B2275F"/>
    <w:rsid w:val="00B23244"/>
    <w:rsid w:val="00B23CCD"/>
    <w:rsid w:val="00B27C9F"/>
    <w:rsid w:val="00B411D3"/>
    <w:rsid w:val="00B440BB"/>
    <w:rsid w:val="00B45E0B"/>
    <w:rsid w:val="00B515B7"/>
    <w:rsid w:val="00B556DD"/>
    <w:rsid w:val="00B703C7"/>
    <w:rsid w:val="00B71C46"/>
    <w:rsid w:val="00B758C2"/>
    <w:rsid w:val="00B85679"/>
    <w:rsid w:val="00B91EA5"/>
    <w:rsid w:val="00B92C4B"/>
    <w:rsid w:val="00BA020B"/>
    <w:rsid w:val="00BB13E3"/>
    <w:rsid w:val="00BB307F"/>
    <w:rsid w:val="00BC0142"/>
    <w:rsid w:val="00BC31F1"/>
    <w:rsid w:val="00BE71A3"/>
    <w:rsid w:val="00BF1AE7"/>
    <w:rsid w:val="00BF33DF"/>
    <w:rsid w:val="00C06F26"/>
    <w:rsid w:val="00C3223F"/>
    <w:rsid w:val="00C36C06"/>
    <w:rsid w:val="00C40041"/>
    <w:rsid w:val="00C40A83"/>
    <w:rsid w:val="00C42938"/>
    <w:rsid w:val="00C61668"/>
    <w:rsid w:val="00C73E30"/>
    <w:rsid w:val="00C91DE1"/>
    <w:rsid w:val="00CB19D2"/>
    <w:rsid w:val="00CB3EB7"/>
    <w:rsid w:val="00CB517C"/>
    <w:rsid w:val="00CC4B51"/>
    <w:rsid w:val="00CC5645"/>
    <w:rsid w:val="00CD35D5"/>
    <w:rsid w:val="00CD4CEE"/>
    <w:rsid w:val="00CF1CB4"/>
    <w:rsid w:val="00D047CD"/>
    <w:rsid w:val="00D1056D"/>
    <w:rsid w:val="00D21351"/>
    <w:rsid w:val="00D21FBF"/>
    <w:rsid w:val="00D25C45"/>
    <w:rsid w:val="00D2794E"/>
    <w:rsid w:val="00D5014B"/>
    <w:rsid w:val="00D558CE"/>
    <w:rsid w:val="00D56DF4"/>
    <w:rsid w:val="00D7617A"/>
    <w:rsid w:val="00DA44BA"/>
    <w:rsid w:val="00DA5B78"/>
    <w:rsid w:val="00DB12E7"/>
    <w:rsid w:val="00DB27C0"/>
    <w:rsid w:val="00DB77E5"/>
    <w:rsid w:val="00DC1AFE"/>
    <w:rsid w:val="00DC436A"/>
    <w:rsid w:val="00DD1D0E"/>
    <w:rsid w:val="00DD35C5"/>
    <w:rsid w:val="00DE71AB"/>
    <w:rsid w:val="00DF5843"/>
    <w:rsid w:val="00E13783"/>
    <w:rsid w:val="00E2285D"/>
    <w:rsid w:val="00E412EE"/>
    <w:rsid w:val="00E5543E"/>
    <w:rsid w:val="00E61E6D"/>
    <w:rsid w:val="00E6766F"/>
    <w:rsid w:val="00E73313"/>
    <w:rsid w:val="00E7798D"/>
    <w:rsid w:val="00E952D6"/>
    <w:rsid w:val="00E95E0C"/>
    <w:rsid w:val="00EB3A51"/>
    <w:rsid w:val="00ED0BCD"/>
    <w:rsid w:val="00ED59A7"/>
    <w:rsid w:val="00ED720E"/>
    <w:rsid w:val="00EE08EB"/>
    <w:rsid w:val="00EF41EF"/>
    <w:rsid w:val="00EF6843"/>
    <w:rsid w:val="00F02481"/>
    <w:rsid w:val="00F03866"/>
    <w:rsid w:val="00F116A7"/>
    <w:rsid w:val="00F21490"/>
    <w:rsid w:val="00F26EFE"/>
    <w:rsid w:val="00F32113"/>
    <w:rsid w:val="00F364C8"/>
    <w:rsid w:val="00F43CFA"/>
    <w:rsid w:val="00F45290"/>
    <w:rsid w:val="00F54BBD"/>
    <w:rsid w:val="00F66458"/>
    <w:rsid w:val="00F81B3E"/>
    <w:rsid w:val="00F95D91"/>
    <w:rsid w:val="00F969AD"/>
    <w:rsid w:val="00FA0498"/>
    <w:rsid w:val="00FA3DDC"/>
    <w:rsid w:val="00FC71D4"/>
    <w:rsid w:val="00FD1BB0"/>
    <w:rsid w:val="00FE047D"/>
    <w:rsid w:val="00FE5A84"/>
    <w:rsid w:val="00FF007F"/>
    <w:rsid w:val="00FF58C3"/>
    <w:rsid w:val="071D3D06"/>
    <w:rsid w:val="14F538A4"/>
    <w:rsid w:val="1AB62B75"/>
    <w:rsid w:val="216475E4"/>
    <w:rsid w:val="2FDF3619"/>
    <w:rsid w:val="3BC86850"/>
    <w:rsid w:val="503151A4"/>
    <w:rsid w:val="504A47C7"/>
    <w:rsid w:val="51FBFFC1"/>
    <w:rsid w:val="57B709FB"/>
    <w:rsid w:val="5AA07EF1"/>
    <w:rsid w:val="73FF6FB2"/>
    <w:rsid w:val="7C426636"/>
    <w:rsid w:val="7F5F0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65C299"/>
  <w15:docId w15:val="{F08DA3B0-8FFE-4F97-A429-4E7DF8BA1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60" w:lineRule="auto"/>
      <w:jc w:val="both"/>
    </w:pPr>
    <w:rPr>
      <w:rFonts w:asciiTheme="minorHAnsi" w:eastAsia="仿宋" w:hAnsiTheme="minorHAnsi" w:cstheme="minorBidi"/>
      <w:kern w:val="2"/>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line="240" w:lineRule="auto"/>
    </w:pPr>
    <w:rPr>
      <w:sz w:val="18"/>
      <w:szCs w:val="18"/>
    </w:rPr>
  </w:style>
  <w:style w:type="paragraph" w:styleId="a5">
    <w:name w:val="footer"/>
    <w:basedOn w:val="a"/>
    <w:link w:val="a6"/>
    <w:uiPriority w:val="99"/>
    <w:unhideWhenUsed/>
    <w:qFormat/>
    <w:pPr>
      <w:tabs>
        <w:tab w:val="center" w:pos="4153"/>
        <w:tab w:val="right" w:pos="8306"/>
      </w:tabs>
      <w:snapToGrid w:val="0"/>
      <w:spacing w:line="240" w:lineRule="auto"/>
      <w:jc w:val="left"/>
    </w:pPr>
    <w:rPr>
      <w:rFonts w:eastAsiaTheme="minorEastAsia"/>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spacing w:line="240" w:lineRule="auto"/>
      <w:jc w:val="center"/>
    </w:pPr>
    <w:rPr>
      <w:rFonts w:eastAsiaTheme="minorEastAsia"/>
      <w:sz w:val="18"/>
      <w:szCs w:val="18"/>
    </w:rPr>
  </w:style>
  <w:style w:type="table" w:styleId="a9">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styleId="aa">
    <w:name w:val="No Spacing"/>
    <w:uiPriority w:val="1"/>
    <w:qFormat/>
    <w:pPr>
      <w:widowControl w:val="0"/>
      <w:jc w:val="both"/>
    </w:pPr>
    <w:rPr>
      <w:rFonts w:asciiTheme="minorHAnsi" w:eastAsia="仿宋" w:hAnsiTheme="minorHAnsi" w:cstheme="minorBidi"/>
      <w:kern w:val="2"/>
      <w:sz w:val="32"/>
      <w:szCs w:val="22"/>
    </w:rPr>
  </w:style>
  <w:style w:type="paragraph" w:customStyle="1" w:styleId="Style1">
    <w:name w:val="_Style 1"/>
    <w:basedOn w:val="a"/>
    <w:uiPriority w:val="99"/>
    <w:qFormat/>
    <w:pPr>
      <w:spacing w:line="240" w:lineRule="auto"/>
      <w:ind w:firstLineChars="200" w:firstLine="420"/>
    </w:pPr>
    <w:rPr>
      <w:rFonts w:ascii="Calibri" w:eastAsia="宋体" w:hAnsi="Calibri" w:cs="Times New Roman"/>
      <w:sz w:val="21"/>
      <w:szCs w:val="24"/>
    </w:rPr>
  </w:style>
  <w:style w:type="character" w:customStyle="1" w:styleId="a4">
    <w:name w:val="批注框文本 字符"/>
    <w:basedOn w:val="a0"/>
    <w:link w:val="a3"/>
    <w:uiPriority w:val="99"/>
    <w:semiHidden/>
    <w:qFormat/>
    <w:rPr>
      <w:rFonts w:eastAsia="仿宋"/>
      <w:sz w:val="18"/>
      <w:szCs w:val="18"/>
    </w:rPr>
  </w:style>
  <w:style w:type="paragraph" w:styleId="ab">
    <w:name w:val="Date"/>
    <w:basedOn w:val="a"/>
    <w:next w:val="a"/>
    <w:link w:val="ac"/>
    <w:uiPriority w:val="99"/>
    <w:semiHidden/>
    <w:unhideWhenUsed/>
    <w:rsid w:val="00CB19D2"/>
    <w:pPr>
      <w:ind w:leftChars="2500" w:left="100"/>
    </w:pPr>
  </w:style>
  <w:style w:type="character" w:customStyle="1" w:styleId="ac">
    <w:name w:val="日期 字符"/>
    <w:basedOn w:val="a0"/>
    <w:link w:val="ab"/>
    <w:uiPriority w:val="99"/>
    <w:semiHidden/>
    <w:rsid w:val="00CB19D2"/>
    <w:rPr>
      <w:rFonts w:asciiTheme="minorHAnsi" w:eastAsia="仿宋" w:hAnsiTheme="minorHAnsi" w:cstheme="minorBidi"/>
      <w:kern w:val="2"/>
      <w:sz w:val="32"/>
      <w:szCs w:val="22"/>
    </w:rPr>
  </w:style>
  <w:style w:type="paragraph" w:styleId="ad">
    <w:name w:val="Revision"/>
    <w:hidden/>
    <w:uiPriority w:val="99"/>
    <w:unhideWhenUsed/>
    <w:rsid w:val="009604E0"/>
    <w:rPr>
      <w:rFonts w:asciiTheme="minorHAnsi" w:eastAsia="仿宋" w:hAnsiTheme="minorHAnsi" w:cstheme="minorBidi"/>
      <w:kern w:val="2"/>
      <w:sz w:val="3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981773d4-10eb-49aa-90aa-3de59bb9301d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F3FBAAB</paraID>
      <start>0</start>
      <end>1</end>
      <status>unmodified</status>
      <modifiedWord/>
      <trackRevisions>false</trackRevisions>
    </reviewItem>
  </reviewItems>
  <config/>
</contractReview>
</file>

<file path=customXml/itemProps1.xml><?xml version="1.0" encoding="utf-8"?>
<ds:datastoreItem xmlns:ds="http://schemas.openxmlformats.org/officeDocument/2006/customXml" ds:itemID="{EEE91556-0100-415A-87A9-ED1776285429}">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2675</Words>
  <Characters>2783</Characters>
  <Application>Microsoft Office Word</Application>
  <DocSecurity>0</DocSecurity>
  <Lines>397</Lines>
  <Paragraphs>606</Paragraphs>
  <ScaleCrop>false</ScaleCrop>
  <Company>HP Inc.</Company>
  <LinksUpToDate>false</LinksUpToDate>
  <CharactersWithSpaces>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xiao xiao</dc:creator>
  <cp:lastModifiedBy>欣 杜</cp:lastModifiedBy>
  <cp:revision>2</cp:revision>
  <cp:lastPrinted>2024-11-05T21:37:00Z</cp:lastPrinted>
  <dcterms:created xsi:type="dcterms:W3CDTF">2026-10-29T05:28:00Z</dcterms:created>
  <dcterms:modified xsi:type="dcterms:W3CDTF">2026-10-29T05:28:00Z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89B0BB2C83BD4A7EA0B6A6BBED9FC070_13</vt:lpwstr>
  </property>
  <property fmtid="{D5CDD505-2E9C-101B-9397-08002B2CF9AE}" pid="4" name="KSOTemplateDocerSaveRecord">
    <vt:lpwstr>eyJoZGlkIjoiYzUzOWI3YjE2NDQ1M2EwOWI3ODQ4YTUyODEwZTdiZTMiLCJ1c2VySWQiOiIxNDg1MjQ0NjM4In0=</vt:lpwstr>
  </property>
</Properties>
</file>